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D2E6" w14:textId="77777777" w:rsidR="00D97534" w:rsidRDefault="00A05B8F" w:rsidP="00A05B8F">
      <w:pPr>
        <w:jc w:val="center"/>
        <w:rPr>
          <w:b/>
          <w:sz w:val="24"/>
          <w:szCs w:val="24"/>
          <w:u w:val="single"/>
        </w:rPr>
      </w:pPr>
      <w:bookmarkStart w:id="0" w:name="_GoBack"/>
      <w:bookmarkEnd w:id="0"/>
      <w:r w:rsidRPr="00BD76E8">
        <w:rPr>
          <w:b/>
          <w:sz w:val="24"/>
          <w:szCs w:val="24"/>
          <w:u w:val="single"/>
        </w:rPr>
        <w:t>HMRC Powers and Safeguards Evaluation</w:t>
      </w:r>
    </w:p>
    <w:p w14:paraId="5E267F98" w14:textId="27249C79" w:rsidR="00A05B8F" w:rsidRDefault="000350E7" w:rsidP="00A05B8F">
      <w:pPr>
        <w:jc w:val="center"/>
        <w:rPr>
          <w:b/>
          <w:sz w:val="24"/>
          <w:szCs w:val="24"/>
          <w:u w:val="single"/>
        </w:rPr>
      </w:pPr>
      <w:r>
        <w:rPr>
          <w:b/>
          <w:sz w:val="24"/>
          <w:szCs w:val="24"/>
          <w:u w:val="single"/>
        </w:rPr>
        <w:t>Forum</w:t>
      </w:r>
      <w:r w:rsidR="00A05B8F" w:rsidRPr="00BD76E8">
        <w:rPr>
          <w:b/>
          <w:sz w:val="24"/>
          <w:szCs w:val="24"/>
          <w:u w:val="single"/>
        </w:rPr>
        <w:t xml:space="preserve"> Questionnaire</w:t>
      </w:r>
      <w:r w:rsidR="00A05B8F">
        <w:rPr>
          <w:b/>
          <w:sz w:val="24"/>
          <w:szCs w:val="24"/>
          <w:u w:val="single"/>
        </w:rPr>
        <w:t xml:space="preserve"> </w:t>
      </w:r>
    </w:p>
    <w:p w14:paraId="05F9D359" w14:textId="77777777" w:rsidR="00C64C1F" w:rsidRDefault="00C64C1F" w:rsidP="00C64C1F">
      <w:pPr>
        <w:pBdr>
          <w:top w:val="single" w:sz="4" w:space="1" w:color="auto"/>
          <w:left w:val="single" w:sz="4" w:space="4" w:color="auto"/>
          <w:bottom w:val="single" w:sz="4" w:space="7" w:color="auto"/>
          <w:right w:val="single" w:sz="4" w:space="4" w:color="auto"/>
        </w:pBdr>
        <w:shd w:val="clear" w:color="auto" w:fill="E7E6E6" w:themeFill="background2"/>
        <w:rPr>
          <w:b/>
          <w:bCs/>
          <w:i/>
          <w:iCs/>
        </w:rPr>
      </w:pPr>
      <w:r w:rsidRPr="0270FEB0">
        <w:rPr>
          <w:b/>
          <w:bCs/>
          <w:i/>
          <w:iCs/>
        </w:rPr>
        <w:t>The Financial Secretary to the Treasury has committed HMRC to evaluating the implementation of powers introduced since 2012 against the powers and safeguards principles that underpinned the 2005-12 powers review.</w:t>
      </w:r>
    </w:p>
    <w:p w14:paraId="5C2DAABD" w14:textId="49D90B6F" w:rsidR="00C64C1F" w:rsidRDefault="00C64C1F" w:rsidP="00C64C1F">
      <w:pPr>
        <w:pBdr>
          <w:top w:val="single" w:sz="4" w:space="1" w:color="auto"/>
          <w:left w:val="single" w:sz="4" w:space="4" w:color="auto"/>
          <w:bottom w:val="single" w:sz="4" w:space="7" w:color="auto"/>
          <w:right w:val="single" w:sz="4" w:space="4" w:color="auto"/>
        </w:pBdr>
        <w:shd w:val="clear" w:color="auto" w:fill="E7E6E6" w:themeFill="background2"/>
        <w:rPr>
          <w:b/>
          <w:i/>
        </w:rPr>
      </w:pPr>
      <w:r>
        <w:rPr>
          <w:b/>
          <w:i/>
        </w:rPr>
        <w:t>Evaluating the implementation of HMRC’s post-2012 powers includes considering how HMRC ensure</w:t>
      </w:r>
      <w:r w:rsidR="003B0EA6">
        <w:rPr>
          <w:b/>
          <w:i/>
        </w:rPr>
        <w:t>s</w:t>
      </w:r>
      <w:r>
        <w:rPr>
          <w:b/>
          <w:i/>
        </w:rPr>
        <w:t xml:space="preserve"> the correct tax is paid, and whether there is best practice the department can learn from. It is focused on HMRC’s operational approach – i.e. how do our processes, procedures and internal safeguards ensure we intervene appropriately with our customers. </w:t>
      </w:r>
    </w:p>
    <w:p w14:paraId="5EFBF158" w14:textId="2484AA37" w:rsidR="00C64C1F" w:rsidRPr="00746D23" w:rsidRDefault="00C64C1F" w:rsidP="00C64C1F">
      <w:pPr>
        <w:pBdr>
          <w:top w:val="single" w:sz="4" w:space="1" w:color="auto"/>
          <w:left w:val="single" w:sz="4" w:space="4" w:color="auto"/>
          <w:bottom w:val="single" w:sz="4" w:space="7" w:color="auto"/>
          <w:right w:val="single" w:sz="4" w:space="4" w:color="auto"/>
        </w:pBdr>
        <w:shd w:val="clear" w:color="auto" w:fill="E7E6E6" w:themeFill="background2"/>
        <w:rPr>
          <w:b/>
          <w:i/>
        </w:rPr>
      </w:pPr>
      <w:r>
        <w:rPr>
          <w:b/>
          <w:i/>
        </w:rPr>
        <w:t xml:space="preserve">The findings of this evaluation will be published </w:t>
      </w:r>
      <w:r w:rsidR="00256333">
        <w:rPr>
          <w:b/>
          <w:i/>
        </w:rPr>
        <w:t xml:space="preserve">in </w:t>
      </w:r>
      <w:r w:rsidR="005317A0">
        <w:rPr>
          <w:b/>
          <w:i/>
        </w:rPr>
        <w:t>early 2020</w:t>
      </w:r>
      <w:r w:rsidR="001D2B29">
        <w:rPr>
          <w:b/>
          <w:i/>
        </w:rPr>
        <w:t xml:space="preserve"> </w:t>
      </w:r>
      <w:r w:rsidR="00256333">
        <w:rPr>
          <w:b/>
          <w:i/>
        </w:rPr>
        <w:t>and will</w:t>
      </w:r>
      <w:r>
        <w:rPr>
          <w:b/>
          <w:i/>
        </w:rPr>
        <w:t xml:space="preserve"> draw on evidence – including (anonymised) case studies and quantitative data. Where possible, it should highlight where HMRC has, is or intends to take action to improve our service for our customers. </w:t>
      </w:r>
    </w:p>
    <w:p w14:paraId="0266B143" w14:textId="77777777" w:rsidR="00C64C1F" w:rsidRPr="000E005D" w:rsidRDefault="00C64C1F" w:rsidP="00C64C1F">
      <w:pPr>
        <w:rPr>
          <w:b/>
          <w:sz w:val="24"/>
          <w:szCs w:val="24"/>
          <w:u w:val="single"/>
        </w:rPr>
      </w:pPr>
    </w:p>
    <w:sdt>
      <w:sdtPr>
        <w:rPr>
          <w:rFonts w:asciiTheme="minorHAnsi" w:eastAsiaTheme="minorHAnsi" w:hAnsiTheme="minorHAnsi" w:cstheme="minorBidi"/>
          <w:color w:val="auto"/>
          <w:sz w:val="22"/>
          <w:szCs w:val="22"/>
          <w:lang w:val="en-GB"/>
        </w:rPr>
        <w:id w:val="419692929"/>
        <w:docPartObj>
          <w:docPartGallery w:val="Table of Contents"/>
          <w:docPartUnique/>
        </w:docPartObj>
      </w:sdtPr>
      <w:sdtEndPr>
        <w:rPr>
          <w:b/>
          <w:bCs/>
          <w:noProof/>
        </w:rPr>
      </w:sdtEndPr>
      <w:sdtContent>
        <w:p w14:paraId="38AB0738" w14:textId="77777777" w:rsidR="00A11366" w:rsidRDefault="00A11366">
          <w:pPr>
            <w:pStyle w:val="TOCHeading"/>
          </w:pPr>
          <w:r>
            <w:t>Contents</w:t>
          </w:r>
        </w:p>
        <w:p w14:paraId="1440CBD0" w14:textId="7F5576FF" w:rsidR="004D629A" w:rsidRDefault="00A1136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1977346" w:history="1">
            <w:r w:rsidR="004D629A" w:rsidRPr="006E56D6">
              <w:rPr>
                <w:rStyle w:val="Hyperlink"/>
                <w:b/>
                <w:bCs/>
                <w:noProof/>
              </w:rPr>
              <w:t>Guidance</w:t>
            </w:r>
            <w:r w:rsidR="004D629A">
              <w:rPr>
                <w:noProof/>
                <w:webHidden/>
              </w:rPr>
              <w:tab/>
            </w:r>
            <w:r w:rsidR="004D629A">
              <w:rPr>
                <w:noProof/>
                <w:webHidden/>
              </w:rPr>
              <w:fldChar w:fldCharType="begin"/>
            </w:r>
            <w:r w:rsidR="004D629A">
              <w:rPr>
                <w:noProof/>
                <w:webHidden/>
              </w:rPr>
              <w:instrText xml:space="preserve"> PAGEREF _Toc21977346 \h </w:instrText>
            </w:r>
            <w:r w:rsidR="004D629A">
              <w:rPr>
                <w:noProof/>
                <w:webHidden/>
              </w:rPr>
            </w:r>
            <w:r w:rsidR="004D629A">
              <w:rPr>
                <w:noProof/>
                <w:webHidden/>
              </w:rPr>
              <w:fldChar w:fldCharType="separate"/>
            </w:r>
            <w:r w:rsidR="00D23617">
              <w:rPr>
                <w:noProof/>
                <w:webHidden/>
              </w:rPr>
              <w:t>1</w:t>
            </w:r>
            <w:r w:rsidR="004D629A">
              <w:rPr>
                <w:noProof/>
                <w:webHidden/>
              </w:rPr>
              <w:fldChar w:fldCharType="end"/>
            </w:r>
          </w:hyperlink>
        </w:p>
        <w:p w14:paraId="14D7943A" w14:textId="0CC30568" w:rsidR="004D629A" w:rsidRDefault="00D77FFB">
          <w:pPr>
            <w:pStyle w:val="TOC1"/>
            <w:tabs>
              <w:tab w:val="right" w:leader="dot" w:pos="9016"/>
            </w:tabs>
            <w:rPr>
              <w:rFonts w:eastAsiaTheme="minorEastAsia"/>
              <w:noProof/>
              <w:lang w:eastAsia="en-GB"/>
            </w:rPr>
          </w:pPr>
          <w:hyperlink w:anchor="_Toc21977347" w:history="1">
            <w:r w:rsidR="00CD14C8">
              <w:rPr>
                <w:rStyle w:val="Hyperlink"/>
                <w:b/>
                <w:bCs/>
                <w:noProof/>
              </w:rPr>
              <w:t>Questions</w:t>
            </w:r>
            <w:r w:rsidR="004D629A" w:rsidRPr="006E56D6">
              <w:rPr>
                <w:rStyle w:val="Hyperlink"/>
                <w:b/>
                <w:bCs/>
                <w:noProof/>
              </w:rPr>
              <w:t xml:space="preserve">: feedback on </w:t>
            </w:r>
            <w:r w:rsidR="00D23617">
              <w:rPr>
                <w:rStyle w:val="Hyperlink"/>
                <w:b/>
                <w:bCs/>
                <w:noProof/>
              </w:rPr>
              <w:t xml:space="preserve">HMRC’s </w:t>
            </w:r>
            <w:r w:rsidR="004D629A" w:rsidRPr="006E56D6">
              <w:rPr>
                <w:rStyle w:val="Hyperlink"/>
                <w:b/>
                <w:bCs/>
                <w:noProof/>
              </w:rPr>
              <w:t>implementation of the powers</w:t>
            </w:r>
            <w:r w:rsidR="004D629A">
              <w:rPr>
                <w:noProof/>
                <w:webHidden/>
              </w:rPr>
              <w:tab/>
            </w:r>
            <w:r w:rsidR="004D629A">
              <w:rPr>
                <w:noProof/>
                <w:webHidden/>
              </w:rPr>
              <w:fldChar w:fldCharType="begin"/>
            </w:r>
            <w:r w:rsidR="004D629A">
              <w:rPr>
                <w:noProof/>
                <w:webHidden/>
              </w:rPr>
              <w:instrText xml:space="preserve"> PAGEREF _Toc21977347 \h </w:instrText>
            </w:r>
            <w:r w:rsidR="004D629A">
              <w:rPr>
                <w:noProof/>
                <w:webHidden/>
              </w:rPr>
            </w:r>
            <w:r w:rsidR="004D629A">
              <w:rPr>
                <w:noProof/>
                <w:webHidden/>
              </w:rPr>
              <w:fldChar w:fldCharType="separate"/>
            </w:r>
            <w:r w:rsidR="00D23617">
              <w:rPr>
                <w:noProof/>
                <w:webHidden/>
              </w:rPr>
              <w:t>2</w:t>
            </w:r>
            <w:r w:rsidR="004D629A">
              <w:rPr>
                <w:noProof/>
                <w:webHidden/>
              </w:rPr>
              <w:fldChar w:fldCharType="end"/>
            </w:r>
          </w:hyperlink>
        </w:p>
        <w:p w14:paraId="103AD50D" w14:textId="4E39F3B9" w:rsidR="004D629A" w:rsidRDefault="00D77FFB">
          <w:pPr>
            <w:pStyle w:val="TOC1"/>
            <w:tabs>
              <w:tab w:val="right" w:leader="dot" w:pos="9016"/>
            </w:tabs>
            <w:rPr>
              <w:rFonts w:eastAsiaTheme="minorEastAsia"/>
              <w:noProof/>
              <w:lang w:eastAsia="en-GB"/>
            </w:rPr>
          </w:pPr>
          <w:hyperlink w:anchor="_Toc21977349" w:history="1">
            <w:r w:rsidR="004D629A" w:rsidRPr="006E56D6">
              <w:rPr>
                <w:rStyle w:val="Hyperlink"/>
                <w:b/>
                <w:noProof/>
              </w:rPr>
              <w:t>Annex A: the 2005-12 powers and safeguard</w:t>
            </w:r>
            <w:r w:rsidR="003B0EA6">
              <w:rPr>
                <w:rStyle w:val="Hyperlink"/>
                <w:b/>
                <w:noProof/>
              </w:rPr>
              <w:t>s</w:t>
            </w:r>
            <w:r w:rsidR="004D629A" w:rsidRPr="006E56D6">
              <w:rPr>
                <w:rStyle w:val="Hyperlink"/>
                <w:b/>
                <w:noProof/>
              </w:rPr>
              <w:t xml:space="preserve"> principles</w:t>
            </w:r>
            <w:r w:rsidR="004D629A">
              <w:rPr>
                <w:noProof/>
                <w:webHidden/>
              </w:rPr>
              <w:tab/>
            </w:r>
            <w:r w:rsidR="004D629A">
              <w:rPr>
                <w:noProof/>
                <w:webHidden/>
              </w:rPr>
              <w:fldChar w:fldCharType="begin"/>
            </w:r>
            <w:r w:rsidR="004D629A">
              <w:rPr>
                <w:noProof/>
                <w:webHidden/>
              </w:rPr>
              <w:instrText xml:space="preserve"> PAGEREF _Toc21977349 \h </w:instrText>
            </w:r>
            <w:r w:rsidR="004D629A">
              <w:rPr>
                <w:noProof/>
                <w:webHidden/>
              </w:rPr>
            </w:r>
            <w:r w:rsidR="004D629A">
              <w:rPr>
                <w:noProof/>
                <w:webHidden/>
              </w:rPr>
              <w:fldChar w:fldCharType="separate"/>
            </w:r>
            <w:r w:rsidR="00D23617">
              <w:rPr>
                <w:noProof/>
                <w:webHidden/>
              </w:rPr>
              <w:t>5</w:t>
            </w:r>
            <w:r w:rsidR="004D629A">
              <w:rPr>
                <w:noProof/>
                <w:webHidden/>
              </w:rPr>
              <w:fldChar w:fldCharType="end"/>
            </w:r>
          </w:hyperlink>
        </w:p>
        <w:p w14:paraId="3C0C173C" w14:textId="1703941A" w:rsidR="004D629A" w:rsidRDefault="00D77FFB">
          <w:pPr>
            <w:pStyle w:val="TOC1"/>
            <w:tabs>
              <w:tab w:val="right" w:leader="dot" w:pos="9016"/>
            </w:tabs>
            <w:rPr>
              <w:rFonts w:eastAsiaTheme="minorEastAsia"/>
              <w:noProof/>
              <w:lang w:eastAsia="en-GB"/>
            </w:rPr>
          </w:pPr>
          <w:hyperlink w:anchor="_Toc21977350" w:history="1">
            <w:r w:rsidR="004D629A" w:rsidRPr="006E56D6">
              <w:rPr>
                <w:rStyle w:val="Hyperlink"/>
                <w:b/>
                <w:noProof/>
              </w:rPr>
              <w:t>Annex B: example case studies</w:t>
            </w:r>
            <w:r w:rsidR="004D629A">
              <w:rPr>
                <w:noProof/>
                <w:webHidden/>
              </w:rPr>
              <w:tab/>
            </w:r>
            <w:r w:rsidR="004D629A">
              <w:rPr>
                <w:noProof/>
                <w:webHidden/>
              </w:rPr>
              <w:fldChar w:fldCharType="begin"/>
            </w:r>
            <w:r w:rsidR="004D629A">
              <w:rPr>
                <w:noProof/>
                <w:webHidden/>
              </w:rPr>
              <w:instrText xml:space="preserve"> PAGEREF _Toc21977350 \h </w:instrText>
            </w:r>
            <w:r w:rsidR="004D629A">
              <w:rPr>
                <w:noProof/>
                <w:webHidden/>
              </w:rPr>
            </w:r>
            <w:r w:rsidR="004D629A">
              <w:rPr>
                <w:noProof/>
                <w:webHidden/>
              </w:rPr>
              <w:fldChar w:fldCharType="separate"/>
            </w:r>
            <w:r w:rsidR="00D23617">
              <w:rPr>
                <w:noProof/>
                <w:webHidden/>
              </w:rPr>
              <w:t>6</w:t>
            </w:r>
            <w:r w:rsidR="004D629A">
              <w:rPr>
                <w:noProof/>
                <w:webHidden/>
              </w:rPr>
              <w:fldChar w:fldCharType="end"/>
            </w:r>
          </w:hyperlink>
        </w:p>
        <w:p w14:paraId="36E42586" w14:textId="77777777" w:rsidR="00347BD5" w:rsidRDefault="00A11366" w:rsidP="00347BD5">
          <w:pPr>
            <w:rPr>
              <w:b/>
              <w:bCs/>
              <w:noProof/>
            </w:rPr>
          </w:pPr>
          <w:r>
            <w:rPr>
              <w:b/>
              <w:bCs/>
              <w:noProof/>
            </w:rPr>
            <w:fldChar w:fldCharType="end"/>
          </w:r>
        </w:p>
      </w:sdtContent>
    </w:sdt>
    <w:p w14:paraId="69805F84" w14:textId="77777777" w:rsidR="00211B0A" w:rsidRDefault="00211B0A" w:rsidP="00211B0A">
      <w:pPr>
        <w:pStyle w:val="Heading1"/>
        <w:spacing w:after="240"/>
        <w:rPr>
          <w:b/>
          <w:bCs/>
          <w:color w:val="auto"/>
          <w:u w:val="single"/>
        </w:rPr>
      </w:pPr>
      <w:bookmarkStart w:id="1" w:name="_Toc21977346"/>
      <w:r w:rsidRPr="00211B0A">
        <w:rPr>
          <w:b/>
          <w:bCs/>
          <w:color w:val="auto"/>
          <w:u w:val="single"/>
        </w:rPr>
        <w:t>Guidance</w:t>
      </w:r>
      <w:bookmarkEnd w:id="1"/>
    </w:p>
    <w:p w14:paraId="7CDD42FC" w14:textId="77777777" w:rsidR="00211B0A" w:rsidRDefault="00211B0A" w:rsidP="00211B0A">
      <w:pPr>
        <w:pStyle w:val="ListParagraph"/>
        <w:numPr>
          <w:ilvl w:val="0"/>
          <w:numId w:val="6"/>
        </w:numPr>
      </w:pPr>
      <w:r>
        <w:t>This evaluation:</w:t>
      </w:r>
    </w:p>
    <w:p w14:paraId="4F5FBD4D" w14:textId="0C3DE1E0" w:rsidR="00211B0A" w:rsidRDefault="00211B0A" w:rsidP="00211B0A">
      <w:pPr>
        <w:pStyle w:val="ListParagraph"/>
        <w:numPr>
          <w:ilvl w:val="1"/>
          <w:numId w:val="6"/>
        </w:numPr>
      </w:pPr>
      <w:r>
        <w:rPr>
          <w:b/>
        </w:rPr>
        <w:t>C</w:t>
      </w:r>
      <w:r w:rsidRPr="005B77A5">
        <w:rPr>
          <w:b/>
        </w:rPr>
        <w:t>onsider</w:t>
      </w:r>
      <w:r>
        <w:rPr>
          <w:b/>
        </w:rPr>
        <w:t>s</w:t>
      </w:r>
      <w:r w:rsidRPr="005B77A5">
        <w:rPr>
          <w:b/>
        </w:rPr>
        <w:t xml:space="preserve"> HMRC’s implementation of its </w:t>
      </w:r>
      <w:r w:rsidR="00B560B9">
        <w:rPr>
          <w:b/>
        </w:rPr>
        <w:t xml:space="preserve">post-2012 </w:t>
      </w:r>
      <w:r w:rsidRPr="005B77A5">
        <w:rPr>
          <w:b/>
        </w:rPr>
        <w:t xml:space="preserve">powers </w:t>
      </w:r>
      <w:r>
        <w:t>against the powers and safeguards principles that underpinned the 2005-12 powe</w:t>
      </w:r>
      <w:r w:rsidR="00AE5639">
        <w:t xml:space="preserve">rs review (provided in Annex A); </w:t>
      </w:r>
      <w:r>
        <w:t xml:space="preserve"> </w:t>
      </w:r>
      <w:r w:rsidR="00BA3AB0">
        <w:t>and</w:t>
      </w:r>
    </w:p>
    <w:p w14:paraId="70EED166" w14:textId="77777777" w:rsidR="00067783" w:rsidRDefault="003B0EA6" w:rsidP="00211B0A">
      <w:pPr>
        <w:pStyle w:val="ListParagraph"/>
        <w:numPr>
          <w:ilvl w:val="1"/>
          <w:numId w:val="6"/>
        </w:numPr>
      </w:pPr>
      <w:r>
        <w:rPr>
          <w:b/>
        </w:rPr>
        <w:t xml:space="preserve">Calls for </w:t>
      </w:r>
      <w:r w:rsidR="00211B0A" w:rsidRPr="005B77A5">
        <w:rPr>
          <w:b/>
        </w:rPr>
        <w:t>evidence</w:t>
      </w:r>
      <w:r w:rsidR="00211B0A">
        <w:t xml:space="preserve"> of how HMRC has implemented the powers.</w:t>
      </w:r>
    </w:p>
    <w:p w14:paraId="561FCABA" w14:textId="791D510D" w:rsidR="00067783" w:rsidRPr="0052030A" w:rsidRDefault="00211B0A" w:rsidP="00067783">
      <w:pPr>
        <w:pStyle w:val="ListParagraph"/>
        <w:numPr>
          <w:ilvl w:val="0"/>
          <w:numId w:val="6"/>
        </w:numPr>
      </w:pPr>
      <w:r>
        <w:t xml:space="preserve"> </w:t>
      </w:r>
      <w:r w:rsidR="00067783">
        <w:t>As powers will be evaluated individually, it would be helpful if you could</w:t>
      </w:r>
      <w:r w:rsidR="005313F3">
        <w:t xml:space="preserve"> please</w:t>
      </w:r>
      <w:r w:rsidR="00067783">
        <w:t xml:space="preserve"> complete a separate questionnaire for each power that you wish to provide evidence on, however, if you would prefer to provide case studies which cover multiple powers, please </w:t>
      </w:r>
      <w:r w:rsidR="00DB517E">
        <w:t>enter</w:t>
      </w:r>
      <w:r w:rsidR="00067783">
        <w:t xml:space="preserve"> (at question 1) which powers are covered in your questionnaire. </w:t>
      </w:r>
    </w:p>
    <w:p w14:paraId="13B3AD27" w14:textId="097816A4" w:rsidR="00211B0A" w:rsidRDefault="00D053B7" w:rsidP="00723684">
      <w:pPr>
        <w:pStyle w:val="ListParagraph"/>
        <w:numPr>
          <w:ilvl w:val="0"/>
          <w:numId w:val="6"/>
        </w:numPr>
      </w:pPr>
      <w:r>
        <w:t xml:space="preserve">Please provide as much detail as possible </w:t>
      </w:r>
      <w:r w:rsidR="005313F3">
        <w:t>about</w:t>
      </w:r>
      <w:r w:rsidRPr="008D5FB0">
        <w:rPr>
          <w:b/>
        </w:rPr>
        <w:t xml:space="preserve"> how and </w:t>
      </w:r>
      <w:r w:rsidR="005A24E4" w:rsidRPr="005A24E4">
        <w:rPr>
          <w:b/>
        </w:rPr>
        <w:t>where</w:t>
      </w:r>
      <w:r w:rsidR="00822EE2" w:rsidRPr="005A24E4">
        <w:rPr>
          <w:b/>
        </w:rPr>
        <w:t xml:space="preserve"> </w:t>
      </w:r>
      <w:r w:rsidR="005A24E4">
        <w:rPr>
          <w:b/>
        </w:rPr>
        <w:t xml:space="preserve">you have seen </w:t>
      </w:r>
      <w:r w:rsidR="00822EE2" w:rsidRPr="005A24E4">
        <w:rPr>
          <w:b/>
        </w:rPr>
        <w:t>HMRC implement</w:t>
      </w:r>
      <w:r w:rsidR="005A24E4">
        <w:rPr>
          <w:b/>
        </w:rPr>
        <w:t xml:space="preserve"> </w:t>
      </w:r>
      <w:r w:rsidR="005A24E4" w:rsidRPr="005A24E4">
        <w:rPr>
          <w:b/>
        </w:rPr>
        <w:t>its</w:t>
      </w:r>
      <w:r w:rsidR="009268B8">
        <w:rPr>
          <w:b/>
        </w:rPr>
        <w:t xml:space="preserve"> post-2012</w:t>
      </w:r>
      <w:r w:rsidR="005A24E4" w:rsidRPr="005A24E4">
        <w:rPr>
          <w:b/>
        </w:rPr>
        <w:t xml:space="preserve"> powers in practice</w:t>
      </w:r>
      <w:r w:rsidR="009268B8">
        <w:rPr>
          <w:b/>
        </w:rPr>
        <w:t>,</w:t>
      </w:r>
      <w:r w:rsidR="005A24E4" w:rsidRPr="005A24E4">
        <w:rPr>
          <w:b/>
        </w:rPr>
        <w:t xml:space="preserve"> and </w:t>
      </w:r>
      <w:r>
        <w:rPr>
          <w:b/>
        </w:rPr>
        <w:t>whether</w:t>
      </w:r>
      <w:r w:rsidR="005A24E4" w:rsidRPr="005A24E4">
        <w:rPr>
          <w:b/>
        </w:rPr>
        <w:t xml:space="preserve"> this </w:t>
      </w:r>
      <w:r w:rsidR="005A24E4">
        <w:rPr>
          <w:b/>
        </w:rPr>
        <w:t>a</w:t>
      </w:r>
      <w:r w:rsidR="005313F3">
        <w:rPr>
          <w:b/>
        </w:rPr>
        <w:t>dheres</w:t>
      </w:r>
      <w:r w:rsidR="005A24E4">
        <w:rPr>
          <w:b/>
        </w:rPr>
        <w:t xml:space="preserve"> </w:t>
      </w:r>
      <w:r w:rsidR="005A24E4" w:rsidRPr="005A24E4">
        <w:rPr>
          <w:b/>
        </w:rPr>
        <w:t>with the principles</w:t>
      </w:r>
      <w:r w:rsidR="005A24E4">
        <w:rPr>
          <w:b/>
        </w:rPr>
        <w:t xml:space="preserve"> or highlights scope for improvement</w:t>
      </w:r>
      <w:r w:rsidR="005A24E4">
        <w:t xml:space="preserve">. </w:t>
      </w:r>
      <w:r w:rsidR="00211B0A">
        <w:t>Please provide:</w:t>
      </w:r>
    </w:p>
    <w:p w14:paraId="6F067906" w14:textId="02E3F8B7" w:rsidR="00211B0A" w:rsidRDefault="00211B0A" w:rsidP="00211B0A">
      <w:pPr>
        <w:pStyle w:val="ListParagraph"/>
        <w:numPr>
          <w:ilvl w:val="1"/>
          <w:numId w:val="6"/>
        </w:numPr>
      </w:pPr>
      <w:r>
        <w:rPr>
          <w:b/>
        </w:rPr>
        <w:t>As much detail as possible</w:t>
      </w:r>
      <w:r>
        <w:t xml:space="preserve"> to answer each question</w:t>
      </w:r>
      <w:r w:rsidR="00AB51DA">
        <w:t xml:space="preserve"> (text boxes can be extended)</w:t>
      </w:r>
      <w:r>
        <w:t xml:space="preserve">; </w:t>
      </w:r>
    </w:p>
    <w:p w14:paraId="665DBC6F" w14:textId="36697CAF" w:rsidR="00211B0A" w:rsidRDefault="00211B0A" w:rsidP="00211B0A">
      <w:pPr>
        <w:pStyle w:val="ListParagraph"/>
        <w:numPr>
          <w:ilvl w:val="1"/>
          <w:numId w:val="6"/>
        </w:numPr>
        <w:rPr>
          <w:b/>
          <w:bCs/>
        </w:rPr>
      </w:pPr>
      <w:r w:rsidRPr="0270FEB0">
        <w:rPr>
          <w:b/>
          <w:bCs/>
        </w:rPr>
        <w:t>References where possible</w:t>
      </w:r>
      <w:r>
        <w:t xml:space="preserve"> – including facts, figures or links to public statements/documents; </w:t>
      </w:r>
    </w:p>
    <w:p w14:paraId="3512E5D6" w14:textId="6D4EDD58" w:rsidR="00211B0A" w:rsidRPr="0052030A" w:rsidRDefault="00211B0A" w:rsidP="00211B0A">
      <w:pPr>
        <w:pStyle w:val="ListParagraph"/>
        <w:numPr>
          <w:ilvl w:val="1"/>
          <w:numId w:val="6"/>
        </w:numPr>
      </w:pPr>
      <w:r w:rsidRPr="0270FEB0">
        <w:rPr>
          <w:b/>
          <w:bCs/>
        </w:rPr>
        <w:t>Anonymised case studies</w:t>
      </w:r>
      <w:r>
        <w:t>, drawing on actual case</w:t>
      </w:r>
      <w:r w:rsidR="008B70C6">
        <w:t>s</w:t>
      </w:r>
      <w:r w:rsidR="005313F3">
        <w:t>. Please do not include customer details or anything that would make a customer easily identifiable.</w:t>
      </w:r>
      <w:r w:rsidR="008B70C6">
        <w:t xml:space="preserve"> </w:t>
      </w:r>
      <w:r w:rsidR="008B70C6">
        <w:rPr>
          <w:b/>
          <w:bCs/>
        </w:rPr>
        <w:t>S</w:t>
      </w:r>
      <w:r w:rsidRPr="0052030A">
        <w:rPr>
          <w:b/>
          <w:bCs/>
        </w:rPr>
        <w:t>ample case studies are provide</w:t>
      </w:r>
      <w:r w:rsidR="003B0EA6" w:rsidRPr="0052030A">
        <w:rPr>
          <w:b/>
          <w:bCs/>
        </w:rPr>
        <w:t>d</w:t>
      </w:r>
      <w:r w:rsidRPr="0052030A">
        <w:rPr>
          <w:b/>
          <w:bCs/>
        </w:rPr>
        <w:t xml:space="preserve"> in Annex B</w:t>
      </w:r>
      <w:r w:rsidR="008B70C6">
        <w:t>)</w:t>
      </w:r>
      <w:r w:rsidR="00256333">
        <w:t>; and</w:t>
      </w:r>
    </w:p>
    <w:p w14:paraId="4A13A939" w14:textId="3C396A1B" w:rsidR="00E309E2" w:rsidRPr="0052030A" w:rsidRDefault="005313F3" w:rsidP="00E309E2">
      <w:pPr>
        <w:pStyle w:val="ListParagraph"/>
        <w:numPr>
          <w:ilvl w:val="1"/>
          <w:numId w:val="6"/>
        </w:numPr>
      </w:pPr>
      <w:r>
        <w:rPr>
          <w:b/>
          <w:bCs/>
        </w:rPr>
        <w:t>Actual e</w:t>
      </w:r>
      <w:r w:rsidR="00211B0A" w:rsidRPr="0052030A">
        <w:rPr>
          <w:b/>
          <w:bCs/>
        </w:rPr>
        <w:t>vidence</w:t>
      </w:r>
      <w:r>
        <w:rPr>
          <w:b/>
          <w:bCs/>
        </w:rPr>
        <w:t>,</w:t>
      </w:r>
      <w:r w:rsidR="00211B0A" w:rsidRPr="0052030A">
        <w:t xml:space="preserve"> as opposed to </w:t>
      </w:r>
      <w:r>
        <w:t>hypothetical examples or opinions.</w:t>
      </w:r>
    </w:p>
    <w:p w14:paraId="189604B8" w14:textId="0E0F4678" w:rsidR="005A24E4" w:rsidRDefault="005A24E4">
      <w:pPr>
        <w:rPr>
          <w:b/>
          <w:bCs/>
          <w:u w:val="single"/>
        </w:rPr>
      </w:pPr>
      <w:bookmarkStart w:id="2" w:name="_Toc21977347"/>
    </w:p>
    <w:p w14:paraId="4E3FC51C" w14:textId="2E681DE4" w:rsidR="00A05B8F" w:rsidRPr="00563B79" w:rsidRDefault="00686B86" w:rsidP="0270FEB0">
      <w:pPr>
        <w:pStyle w:val="Heading1"/>
        <w:spacing w:after="240"/>
        <w:rPr>
          <w:b/>
          <w:bCs/>
          <w:color w:val="auto"/>
          <w:u w:val="single"/>
        </w:rPr>
      </w:pPr>
      <w:r>
        <w:rPr>
          <w:b/>
          <w:bCs/>
          <w:color w:val="auto"/>
          <w:u w:val="single"/>
        </w:rPr>
        <w:t>Questions: F</w:t>
      </w:r>
      <w:r w:rsidR="0270FEB0" w:rsidRPr="0270FEB0">
        <w:rPr>
          <w:b/>
          <w:bCs/>
          <w:color w:val="auto"/>
          <w:u w:val="single"/>
        </w:rPr>
        <w:t>eedback on</w:t>
      </w:r>
      <w:r w:rsidR="00D23617">
        <w:rPr>
          <w:b/>
          <w:bCs/>
          <w:color w:val="auto"/>
          <w:u w:val="single"/>
        </w:rPr>
        <w:t xml:space="preserve"> HMRC’s</w:t>
      </w:r>
      <w:r w:rsidR="0270FEB0" w:rsidRPr="0270FEB0">
        <w:rPr>
          <w:b/>
          <w:bCs/>
          <w:color w:val="auto"/>
          <w:u w:val="single"/>
        </w:rPr>
        <w:t xml:space="preserve"> </w:t>
      </w:r>
      <w:r w:rsidR="000C4AB2">
        <w:rPr>
          <w:b/>
          <w:bCs/>
          <w:color w:val="auto"/>
          <w:u w:val="single"/>
        </w:rPr>
        <w:t xml:space="preserve">implementation of </w:t>
      </w:r>
      <w:r w:rsidR="000C59D4">
        <w:rPr>
          <w:b/>
          <w:bCs/>
          <w:color w:val="auto"/>
          <w:u w:val="single"/>
        </w:rPr>
        <w:t>a</w:t>
      </w:r>
      <w:r w:rsidR="000C4AB2">
        <w:rPr>
          <w:b/>
          <w:bCs/>
          <w:color w:val="auto"/>
          <w:u w:val="single"/>
        </w:rPr>
        <w:t xml:space="preserve"> p</w:t>
      </w:r>
      <w:r w:rsidR="0270FEB0" w:rsidRPr="0270FEB0">
        <w:rPr>
          <w:b/>
          <w:bCs/>
          <w:color w:val="auto"/>
          <w:u w:val="single"/>
        </w:rPr>
        <w:t>ower</w:t>
      </w:r>
      <w:bookmarkEnd w:id="2"/>
    </w:p>
    <w:p w14:paraId="5B0C22A8" w14:textId="209F032E" w:rsidR="000C59D4" w:rsidRDefault="00711A5B" w:rsidP="00723684">
      <w:pPr>
        <w:pStyle w:val="ListParagraph"/>
        <w:numPr>
          <w:ilvl w:val="0"/>
          <w:numId w:val="15"/>
        </w:numPr>
        <w:rPr>
          <w:i/>
          <w:iCs/>
        </w:rPr>
      </w:pPr>
      <w:r w:rsidRPr="00711A5B">
        <w:rPr>
          <w:i/>
          <w:iCs/>
          <w:noProof/>
        </w:rPr>
        <mc:AlternateContent>
          <mc:Choice Requires="wps">
            <w:drawing>
              <wp:anchor distT="45720" distB="45720" distL="114300" distR="114300" simplePos="0" relativeHeight="251659264" behindDoc="0" locked="0" layoutInCell="1" allowOverlap="1" wp14:anchorId="555AF750" wp14:editId="33B1B146">
                <wp:simplePos x="0" y="0"/>
                <wp:positionH relativeFrom="column">
                  <wp:posOffset>275590</wp:posOffset>
                </wp:positionH>
                <wp:positionV relativeFrom="paragraph">
                  <wp:posOffset>681990</wp:posOffset>
                </wp:positionV>
                <wp:extent cx="5248275" cy="12744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274445"/>
                        </a:xfrm>
                        <a:prstGeom prst="rect">
                          <a:avLst/>
                        </a:prstGeom>
                        <a:solidFill>
                          <a:srgbClr val="FFFFFF"/>
                        </a:solidFill>
                        <a:ln w="9525">
                          <a:solidFill>
                            <a:srgbClr val="000000"/>
                          </a:solidFill>
                          <a:miter lim="800000"/>
                          <a:headEnd/>
                          <a:tailEnd/>
                        </a:ln>
                      </wps:spPr>
                      <wps:txbx>
                        <w:txbxContent>
                          <w:p w14:paraId="23C71E87" w14:textId="6848A4AF" w:rsidR="00711A5B" w:rsidRDefault="00711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AF750" id="_x0000_t202" coordsize="21600,21600" o:spt="202" path="m,l,21600r21600,l21600,xe">
                <v:stroke joinstyle="miter"/>
                <v:path gradientshapeok="t" o:connecttype="rect"/>
              </v:shapetype>
              <v:shape id="Text Box 2" o:spid="_x0000_s1026" type="#_x0000_t202" style="position:absolute;left:0;text-align:left;margin-left:21.7pt;margin-top:53.7pt;width:413.25pt;height:10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">
                <v:textbox>
                  <w:txbxContent>
                    <w:p w14:paraId="23C71E87" w14:textId="6848A4AF" w:rsidR="00711A5B" w:rsidRDefault="00711A5B"/>
                  </w:txbxContent>
                </v:textbox>
                <w10:wrap type="square"/>
              </v:shape>
            </w:pict>
          </mc:Fallback>
        </mc:AlternateContent>
      </w:r>
      <w:r w:rsidR="000C59D4">
        <w:rPr>
          <w:i/>
          <w:iCs/>
        </w:rPr>
        <w:t xml:space="preserve"> </w:t>
      </w:r>
      <w:r w:rsidR="00940FF9">
        <w:rPr>
          <w:i/>
          <w:iCs/>
        </w:rPr>
        <w:t xml:space="preserve">Please provide the name </w:t>
      </w:r>
      <w:r w:rsidR="00324DE5">
        <w:rPr>
          <w:i/>
          <w:iCs/>
        </w:rPr>
        <w:t>of the power (</w:t>
      </w:r>
      <w:r w:rsidR="00940FF9">
        <w:rPr>
          <w:i/>
          <w:iCs/>
        </w:rPr>
        <w:t xml:space="preserve">and </w:t>
      </w:r>
      <w:r w:rsidR="00324DE5">
        <w:rPr>
          <w:i/>
          <w:iCs/>
        </w:rPr>
        <w:t xml:space="preserve">the </w:t>
      </w:r>
      <w:r w:rsidR="00940FF9">
        <w:rPr>
          <w:i/>
          <w:iCs/>
        </w:rPr>
        <w:t>number</w:t>
      </w:r>
      <w:r w:rsidR="00324DE5">
        <w:rPr>
          <w:i/>
          <w:iCs/>
        </w:rPr>
        <w:t xml:space="preserve"> on the list)</w:t>
      </w:r>
      <w:r w:rsidR="00940FF9">
        <w:rPr>
          <w:i/>
          <w:iCs/>
        </w:rPr>
        <w:t xml:space="preserve"> </w:t>
      </w:r>
      <w:r w:rsidR="00324DE5">
        <w:rPr>
          <w:i/>
          <w:iCs/>
        </w:rPr>
        <w:t>that</w:t>
      </w:r>
      <w:r w:rsidR="000C59D4">
        <w:rPr>
          <w:i/>
          <w:iCs/>
        </w:rPr>
        <w:t xml:space="preserve"> you </w:t>
      </w:r>
      <w:r w:rsidR="00324DE5">
        <w:rPr>
          <w:i/>
          <w:iCs/>
        </w:rPr>
        <w:t>are evaluating. If you are providing a case-study</w:t>
      </w:r>
      <w:r w:rsidR="00DB517E">
        <w:rPr>
          <w:i/>
          <w:iCs/>
        </w:rPr>
        <w:t>/ studies</w:t>
      </w:r>
      <w:r w:rsidR="00324DE5">
        <w:rPr>
          <w:i/>
          <w:iCs/>
        </w:rPr>
        <w:t xml:space="preserve"> which cover multiple powers, please provide the </w:t>
      </w:r>
      <w:r w:rsidR="00943DF7">
        <w:rPr>
          <w:i/>
          <w:iCs/>
        </w:rPr>
        <w:t>name and numbers of each of the powers covered:</w:t>
      </w:r>
    </w:p>
    <w:p w14:paraId="08E4AB3D" w14:textId="5F06BD74" w:rsidR="000C59D4" w:rsidRPr="000C59D4" w:rsidRDefault="000C59D4" w:rsidP="000C59D4">
      <w:pPr>
        <w:ind w:left="360"/>
        <w:rPr>
          <w:i/>
          <w:iCs/>
        </w:rPr>
      </w:pPr>
    </w:p>
    <w:p w14:paraId="4B619F5D" w14:textId="77777777" w:rsidR="00D23617" w:rsidRDefault="00D23617" w:rsidP="008D5FB0">
      <w:pPr>
        <w:pStyle w:val="ListParagraph"/>
        <w:rPr>
          <w:i/>
          <w:iCs/>
        </w:rPr>
      </w:pPr>
    </w:p>
    <w:p w14:paraId="6C581751" w14:textId="77777777" w:rsidR="000350E7" w:rsidRPr="000350E7" w:rsidRDefault="000350E7" w:rsidP="000350E7">
      <w:pPr>
        <w:pStyle w:val="ListParagraph"/>
        <w:rPr>
          <w:i/>
          <w:iCs/>
        </w:rPr>
      </w:pPr>
    </w:p>
    <w:p w14:paraId="7F799AD6" w14:textId="01CA24C5" w:rsidR="005234CF" w:rsidRDefault="006B5504" w:rsidP="00723684">
      <w:pPr>
        <w:pStyle w:val="ListParagraph"/>
        <w:numPr>
          <w:ilvl w:val="0"/>
          <w:numId w:val="15"/>
        </w:numPr>
        <w:rPr>
          <w:i/>
          <w:iCs/>
        </w:rPr>
      </w:pPr>
      <w:r>
        <w:rPr>
          <w:i/>
          <w:iCs/>
        </w:rPr>
        <w:t>Please enter your evidence or case study</w:t>
      </w:r>
      <w:r w:rsidR="00D23617">
        <w:rPr>
          <w:i/>
          <w:iCs/>
        </w:rPr>
        <w:t>/studies</w:t>
      </w:r>
      <w:r>
        <w:rPr>
          <w:i/>
          <w:iCs/>
        </w:rPr>
        <w:t xml:space="preserve"> </w:t>
      </w:r>
      <w:r w:rsidR="003542E2">
        <w:rPr>
          <w:i/>
          <w:iCs/>
        </w:rPr>
        <w:t>to describe</w:t>
      </w:r>
      <w:r w:rsidR="005D4D2D">
        <w:rPr>
          <w:i/>
          <w:iCs/>
        </w:rPr>
        <w:t xml:space="preserve"> w</w:t>
      </w:r>
      <w:r w:rsidR="005A24E4" w:rsidRPr="00686B86">
        <w:rPr>
          <w:i/>
          <w:iCs/>
        </w:rPr>
        <w:t xml:space="preserve">here </w:t>
      </w:r>
      <w:r w:rsidR="00686B86" w:rsidRPr="00686B86">
        <w:rPr>
          <w:i/>
          <w:iCs/>
        </w:rPr>
        <w:t>you</w:t>
      </w:r>
      <w:r w:rsidR="00CD14C8">
        <w:rPr>
          <w:i/>
          <w:iCs/>
        </w:rPr>
        <w:t xml:space="preserve"> have</w:t>
      </w:r>
      <w:r w:rsidR="00686B86" w:rsidRPr="00686B86">
        <w:rPr>
          <w:i/>
          <w:iCs/>
        </w:rPr>
        <w:t xml:space="preserve"> seen HMRC </w:t>
      </w:r>
      <w:r w:rsidR="00BD7E90">
        <w:rPr>
          <w:i/>
          <w:iCs/>
        </w:rPr>
        <w:t>implement</w:t>
      </w:r>
      <w:r w:rsidR="000350E7">
        <w:rPr>
          <w:i/>
          <w:iCs/>
        </w:rPr>
        <w:t xml:space="preserve"> </w:t>
      </w:r>
      <w:r w:rsidR="00990E52">
        <w:rPr>
          <w:i/>
          <w:iCs/>
        </w:rPr>
        <w:t xml:space="preserve">the </w:t>
      </w:r>
      <w:r w:rsidR="000350E7">
        <w:rPr>
          <w:i/>
          <w:iCs/>
        </w:rPr>
        <w:t>power</w:t>
      </w:r>
      <w:r w:rsidR="00990E52">
        <w:rPr>
          <w:i/>
          <w:iCs/>
        </w:rPr>
        <w:t>(s) noted in your answer to question 1</w:t>
      </w:r>
      <w:r w:rsidR="00CD14C8">
        <w:rPr>
          <w:i/>
          <w:iCs/>
        </w:rPr>
        <w:t>,</w:t>
      </w:r>
      <w:r w:rsidR="00686B86" w:rsidRPr="00686B86">
        <w:rPr>
          <w:i/>
          <w:iCs/>
        </w:rPr>
        <w:t xml:space="preserve"> </w:t>
      </w:r>
      <w:r w:rsidR="00CD14C8">
        <w:rPr>
          <w:i/>
          <w:iCs/>
        </w:rPr>
        <w:t>please</w:t>
      </w:r>
      <w:r w:rsidR="005234CF">
        <w:rPr>
          <w:i/>
          <w:iCs/>
        </w:rPr>
        <w:t>:</w:t>
      </w:r>
    </w:p>
    <w:p w14:paraId="6FFE366D" w14:textId="77777777" w:rsidR="00990E52" w:rsidRDefault="00990E52" w:rsidP="003D6EA6">
      <w:pPr>
        <w:pStyle w:val="ListParagraph"/>
        <w:rPr>
          <w:i/>
          <w:iCs/>
        </w:rPr>
      </w:pPr>
    </w:p>
    <w:p w14:paraId="2820CB46" w14:textId="67A67FFC" w:rsidR="000350E7" w:rsidRDefault="000350E7" w:rsidP="000350E7">
      <w:pPr>
        <w:pStyle w:val="ListParagraph"/>
        <w:numPr>
          <w:ilvl w:val="1"/>
          <w:numId w:val="20"/>
        </w:numPr>
        <w:rPr>
          <w:i/>
          <w:iCs/>
        </w:rPr>
      </w:pPr>
      <w:r>
        <w:rPr>
          <w:i/>
          <w:iCs/>
        </w:rPr>
        <w:t xml:space="preserve">Draw on the model case studies provided in Annex B; </w:t>
      </w:r>
    </w:p>
    <w:p w14:paraId="34C5BF0C" w14:textId="42F14E8A" w:rsidR="001F10C9" w:rsidRDefault="005234CF" w:rsidP="000350E7">
      <w:pPr>
        <w:pStyle w:val="ListParagraph"/>
        <w:numPr>
          <w:ilvl w:val="1"/>
          <w:numId w:val="20"/>
        </w:numPr>
        <w:rPr>
          <w:i/>
          <w:iCs/>
        </w:rPr>
      </w:pPr>
      <w:r>
        <w:rPr>
          <w:i/>
          <w:iCs/>
        </w:rPr>
        <w:t xml:space="preserve">Describe </w:t>
      </w:r>
      <w:r w:rsidR="001F10C9">
        <w:rPr>
          <w:i/>
          <w:iCs/>
        </w:rPr>
        <w:t>HMRC’s engagement with the customer and, where appropriate, the agent, highlighting specific points that demonstrate compliance</w:t>
      </w:r>
      <w:r w:rsidR="00324DE5">
        <w:rPr>
          <w:i/>
          <w:iCs/>
        </w:rPr>
        <w:t xml:space="preserve"> (or non-compliance) </w:t>
      </w:r>
      <w:r w:rsidR="001F10C9">
        <w:rPr>
          <w:i/>
          <w:iCs/>
        </w:rPr>
        <w:t xml:space="preserve">with the principles, or scope for improvement. In particular: </w:t>
      </w:r>
    </w:p>
    <w:p w14:paraId="607F6AC2" w14:textId="621DF62C" w:rsidR="008B70C6" w:rsidRPr="008B70C6" w:rsidRDefault="00067783" w:rsidP="008B70C6">
      <w:pPr>
        <w:pStyle w:val="ListParagraph"/>
        <w:numPr>
          <w:ilvl w:val="2"/>
          <w:numId w:val="20"/>
        </w:numPr>
        <w:rPr>
          <w:i/>
          <w:iCs/>
        </w:rPr>
      </w:pPr>
      <w:r>
        <w:rPr>
          <w:i/>
          <w:iCs/>
        </w:rPr>
        <w:t>D</w:t>
      </w:r>
      <w:r w:rsidR="008B70C6" w:rsidRPr="008B70C6">
        <w:rPr>
          <w:i/>
          <w:iCs/>
        </w:rPr>
        <w:t>id HMRC prepare customers and agents for introduction of the power, and ensure the preparation was appropriately:</w:t>
      </w:r>
    </w:p>
    <w:p w14:paraId="132F84CC" w14:textId="77777777" w:rsidR="008B70C6" w:rsidRPr="008B70C6" w:rsidRDefault="008B70C6" w:rsidP="008B70C6">
      <w:pPr>
        <w:pStyle w:val="ListParagraph"/>
        <w:numPr>
          <w:ilvl w:val="3"/>
          <w:numId w:val="22"/>
        </w:numPr>
        <w:rPr>
          <w:i/>
          <w:iCs/>
        </w:rPr>
      </w:pPr>
      <w:r w:rsidRPr="008B70C6">
        <w:rPr>
          <w:i/>
          <w:iCs/>
        </w:rPr>
        <w:t>Comprehensive;</w:t>
      </w:r>
    </w:p>
    <w:p w14:paraId="2106444D" w14:textId="77777777" w:rsidR="008B70C6" w:rsidRPr="008B70C6" w:rsidRDefault="008B70C6" w:rsidP="008B70C6">
      <w:pPr>
        <w:pStyle w:val="ListParagraph"/>
        <w:numPr>
          <w:ilvl w:val="3"/>
          <w:numId w:val="22"/>
        </w:numPr>
        <w:rPr>
          <w:i/>
          <w:iCs/>
        </w:rPr>
      </w:pPr>
      <w:r w:rsidRPr="008B70C6">
        <w:rPr>
          <w:i/>
          <w:iCs/>
        </w:rPr>
        <w:t>Accurate;</w:t>
      </w:r>
    </w:p>
    <w:p w14:paraId="08770EAD" w14:textId="77777777" w:rsidR="008B70C6" w:rsidRPr="008B70C6" w:rsidRDefault="008B70C6" w:rsidP="008B70C6">
      <w:pPr>
        <w:pStyle w:val="ListParagraph"/>
        <w:numPr>
          <w:ilvl w:val="3"/>
          <w:numId w:val="22"/>
        </w:numPr>
        <w:rPr>
          <w:i/>
          <w:iCs/>
        </w:rPr>
      </w:pPr>
      <w:r w:rsidRPr="008B70C6">
        <w:rPr>
          <w:i/>
          <w:iCs/>
        </w:rPr>
        <w:t>Proportionate;</w:t>
      </w:r>
    </w:p>
    <w:p w14:paraId="5A7AA803" w14:textId="77777777" w:rsidR="008B70C6" w:rsidRPr="008B70C6" w:rsidRDefault="008B70C6" w:rsidP="008B70C6">
      <w:pPr>
        <w:pStyle w:val="ListParagraph"/>
        <w:numPr>
          <w:ilvl w:val="3"/>
          <w:numId w:val="22"/>
        </w:numPr>
        <w:rPr>
          <w:i/>
          <w:iCs/>
        </w:rPr>
      </w:pPr>
      <w:r w:rsidRPr="008B70C6">
        <w:rPr>
          <w:i/>
          <w:iCs/>
        </w:rPr>
        <w:t>Kept up to date; and</w:t>
      </w:r>
    </w:p>
    <w:p w14:paraId="4B5B2BD0" w14:textId="7B9799FE" w:rsidR="008B70C6" w:rsidRPr="008B70C6" w:rsidRDefault="008B70C6" w:rsidP="008B70C6">
      <w:pPr>
        <w:pStyle w:val="ListParagraph"/>
        <w:numPr>
          <w:ilvl w:val="3"/>
          <w:numId w:val="22"/>
        </w:numPr>
        <w:rPr>
          <w:i/>
          <w:iCs/>
        </w:rPr>
      </w:pPr>
      <w:r w:rsidRPr="008B70C6">
        <w:rPr>
          <w:i/>
          <w:iCs/>
        </w:rPr>
        <w:t>Received by hard to reach customers or agents?</w:t>
      </w:r>
    </w:p>
    <w:p w14:paraId="2458DD11" w14:textId="2CC2A406" w:rsidR="001F10C9" w:rsidRDefault="001F10C9" w:rsidP="000350E7">
      <w:pPr>
        <w:pStyle w:val="ListParagraph"/>
        <w:numPr>
          <w:ilvl w:val="2"/>
          <w:numId w:val="20"/>
        </w:numPr>
        <w:rPr>
          <w:i/>
          <w:iCs/>
        </w:rPr>
      </w:pPr>
      <w:r>
        <w:rPr>
          <w:i/>
          <w:iCs/>
        </w:rPr>
        <w:t xml:space="preserve">How did HMRC ensure the customer and the agent were aware of their rights and obligations prior to the implementation of the power (e.g. through guidance or public communications) – was this </w:t>
      </w:r>
      <w:r w:rsidR="00711A5B">
        <w:rPr>
          <w:i/>
          <w:iCs/>
        </w:rPr>
        <w:t>fit for purpose?</w:t>
      </w:r>
      <w:r>
        <w:rPr>
          <w:i/>
          <w:iCs/>
        </w:rPr>
        <w:t xml:space="preserve"> </w:t>
      </w:r>
    </w:p>
    <w:p w14:paraId="2D901132" w14:textId="38B5E18F" w:rsidR="001F10C9" w:rsidRDefault="001F10C9" w:rsidP="000350E7">
      <w:pPr>
        <w:pStyle w:val="ListParagraph"/>
        <w:numPr>
          <w:ilvl w:val="2"/>
          <w:numId w:val="20"/>
        </w:numPr>
        <w:rPr>
          <w:i/>
          <w:iCs/>
        </w:rPr>
      </w:pPr>
      <w:r>
        <w:rPr>
          <w:i/>
          <w:iCs/>
        </w:rPr>
        <w:t>How did HMRC ensure the customer was aware of their rights and obligations whilst the power was bein</w:t>
      </w:r>
      <w:r w:rsidR="00BA3AB0">
        <w:rPr>
          <w:i/>
          <w:iCs/>
        </w:rPr>
        <w:t>g exercised – was this useful; and</w:t>
      </w:r>
    </w:p>
    <w:p w14:paraId="2019E28E" w14:textId="470D4BC2" w:rsidR="001F10C9" w:rsidRDefault="001F10C9" w:rsidP="000350E7">
      <w:pPr>
        <w:pStyle w:val="ListParagraph"/>
        <w:numPr>
          <w:ilvl w:val="2"/>
          <w:numId w:val="20"/>
        </w:numPr>
        <w:rPr>
          <w:i/>
          <w:iCs/>
        </w:rPr>
      </w:pPr>
      <w:r>
        <w:rPr>
          <w:i/>
          <w:iCs/>
        </w:rPr>
        <w:t>Did you seek additional information from HMRC – was this useful;</w:t>
      </w:r>
    </w:p>
    <w:p w14:paraId="29B6CFA6" w14:textId="2B1A7198" w:rsidR="00AA26E7" w:rsidRDefault="005234CF" w:rsidP="000350E7">
      <w:pPr>
        <w:pStyle w:val="ListParagraph"/>
        <w:numPr>
          <w:ilvl w:val="1"/>
          <w:numId w:val="20"/>
        </w:numPr>
        <w:rPr>
          <w:i/>
          <w:iCs/>
        </w:rPr>
      </w:pPr>
      <w:r w:rsidRPr="001F10C9">
        <w:rPr>
          <w:i/>
          <w:iCs/>
        </w:rPr>
        <w:t>Highlight if</w:t>
      </w:r>
      <w:r w:rsidR="00686B86" w:rsidRPr="001F10C9">
        <w:rPr>
          <w:i/>
          <w:iCs/>
        </w:rPr>
        <w:t xml:space="preserve"> you provided </w:t>
      </w:r>
      <w:r w:rsidRPr="001F10C9">
        <w:rPr>
          <w:i/>
          <w:iCs/>
        </w:rPr>
        <w:t xml:space="preserve">HMRC </w:t>
      </w:r>
      <w:r w:rsidR="00686B86" w:rsidRPr="001F10C9">
        <w:rPr>
          <w:i/>
          <w:iCs/>
        </w:rPr>
        <w:t xml:space="preserve">with feedback on its approach </w:t>
      </w:r>
      <w:r w:rsidR="005D4D2D" w:rsidRPr="001F10C9">
        <w:rPr>
          <w:i/>
          <w:iCs/>
        </w:rPr>
        <w:t>a</w:t>
      </w:r>
      <w:r w:rsidR="00AA26E7" w:rsidRPr="001F10C9">
        <w:rPr>
          <w:i/>
          <w:iCs/>
        </w:rPr>
        <w:t xml:space="preserve">nd the outcome of that feedback; and </w:t>
      </w:r>
    </w:p>
    <w:p w14:paraId="5E1B60BE" w14:textId="664F0D4F" w:rsidR="001F10C9" w:rsidRPr="001F10C9" w:rsidRDefault="001F10C9" w:rsidP="000350E7">
      <w:pPr>
        <w:pStyle w:val="ListParagraph"/>
        <w:numPr>
          <w:ilvl w:val="1"/>
          <w:numId w:val="20"/>
        </w:numPr>
        <w:rPr>
          <w:i/>
          <w:iCs/>
        </w:rPr>
      </w:pPr>
      <w:r>
        <w:rPr>
          <w:i/>
          <w:iCs/>
        </w:rPr>
        <w:t xml:space="preserve">Note whether HMRC’s guidance was helpful in this case – if not, why not? </w:t>
      </w:r>
    </w:p>
    <w:p w14:paraId="6BAE9A85" w14:textId="19AEE407" w:rsidR="005234CF" w:rsidRDefault="005234CF" w:rsidP="001D1792">
      <w:pPr>
        <w:rPr>
          <w:i/>
          <w:iCs/>
        </w:rPr>
      </w:pPr>
    </w:p>
    <w:p w14:paraId="656E931E" w14:textId="5E0ED70A" w:rsidR="00D23617" w:rsidRDefault="00D23617" w:rsidP="001D1792">
      <w:pPr>
        <w:rPr>
          <w:i/>
          <w:iCs/>
        </w:rPr>
      </w:pPr>
    </w:p>
    <w:p w14:paraId="7A5C7F1C" w14:textId="49854544" w:rsidR="00D23617" w:rsidRDefault="00D23617" w:rsidP="001D1792">
      <w:pPr>
        <w:rPr>
          <w:i/>
          <w:iCs/>
        </w:rPr>
      </w:pPr>
    </w:p>
    <w:p w14:paraId="18BF115B" w14:textId="750986C1" w:rsidR="00D23617" w:rsidRDefault="00D23617" w:rsidP="001D1792">
      <w:pPr>
        <w:rPr>
          <w:i/>
          <w:iCs/>
        </w:rPr>
      </w:pPr>
    </w:p>
    <w:p w14:paraId="09838AE2" w14:textId="1673C1D1" w:rsidR="00D23617" w:rsidRDefault="00D23617" w:rsidP="001D1792">
      <w:pPr>
        <w:rPr>
          <w:i/>
          <w:iCs/>
        </w:rPr>
      </w:pPr>
    </w:p>
    <w:p w14:paraId="71DF2DDD" w14:textId="4E91D021" w:rsidR="00D23617" w:rsidRDefault="00711A5B" w:rsidP="001D1792">
      <w:pPr>
        <w:rPr>
          <w:i/>
          <w:iCs/>
        </w:rPr>
      </w:pPr>
      <w:r w:rsidRPr="00711A5B">
        <w:rPr>
          <w:i/>
          <w:iCs/>
          <w:noProof/>
        </w:rPr>
        <mc:AlternateContent>
          <mc:Choice Requires="wps">
            <w:drawing>
              <wp:anchor distT="45720" distB="45720" distL="114300" distR="114300" simplePos="0" relativeHeight="251661312" behindDoc="0" locked="0" layoutInCell="1" allowOverlap="1" wp14:anchorId="4AEA705B" wp14:editId="5767DC4E">
                <wp:simplePos x="0" y="0"/>
                <wp:positionH relativeFrom="column">
                  <wp:posOffset>361950</wp:posOffset>
                </wp:positionH>
                <wp:positionV relativeFrom="paragraph">
                  <wp:posOffset>161925</wp:posOffset>
                </wp:positionV>
                <wp:extent cx="5267325" cy="7753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753350"/>
                        </a:xfrm>
                        <a:prstGeom prst="rect">
                          <a:avLst/>
                        </a:prstGeom>
                        <a:solidFill>
                          <a:srgbClr val="FFFFFF"/>
                        </a:solidFill>
                        <a:ln w="9525">
                          <a:solidFill>
                            <a:srgbClr val="000000"/>
                          </a:solidFill>
                          <a:miter lim="800000"/>
                          <a:headEnd/>
                          <a:tailEnd/>
                        </a:ln>
                      </wps:spPr>
                      <wps:txbx>
                        <w:txbxContent>
                          <w:p w14:paraId="45E2C4DC" w14:textId="418608E8" w:rsidR="00711A5B" w:rsidRDefault="00711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A705B" id="_x0000_s1027" type="#_x0000_t202" style="position:absolute;margin-left:28.5pt;margin-top:12.75pt;width:414.75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">
                <v:textbox>
                  <w:txbxContent>
                    <w:p w14:paraId="45E2C4DC" w14:textId="418608E8" w:rsidR="00711A5B" w:rsidRDefault="00711A5B"/>
                  </w:txbxContent>
                </v:textbox>
                <w10:wrap type="square"/>
              </v:shape>
            </w:pict>
          </mc:Fallback>
        </mc:AlternateContent>
      </w:r>
    </w:p>
    <w:p w14:paraId="105AE418" w14:textId="09ED2E82" w:rsidR="00D23617" w:rsidRDefault="00D23617" w:rsidP="001D1792">
      <w:pPr>
        <w:rPr>
          <w:i/>
          <w:iCs/>
        </w:rPr>
      </w:pPr>
    </w:p>
    <w:p w14:paraId="6B1DF722" w14:textId="779EBF3F" w:rsidR="00D23617" w:rsidRDefault="00D23617" w:rsidP="001D1792">
      <w:pPr>
        <w:rPr>
          <w:i/>
          <w:iCs/>
        </w:rPr>
      </w:pPr>
    </w:p>
    <w:p w14:paraId="201BC34F" w14:textId="64206512" w:rsidR="00D23617" w:rsidRDefault="00D23617" w:rsidP="001D1792">
      <w:pPr>
        <w:rPr>
          <w:i/>
          <w:iCs/>
        </w:rPr>
      </w:pPr>
    </w:p>
    <w:p w14:paraId="49D2464B" w14:textId="22DF9486" w:rsidR="00D23617" w:rsidRDefault="00D23617" w:rsidP="001D1792">
      <w:pPr>
        <w:rPr>
          <w:i/>
          <w:iCs/>
        </w:rPr>
      </w:pPr>
    </w:p>
    <w:p w14:paraId="76519405" w14:textId="32A87EA0" w:rsidR="00D23617" w:rsidRDefault="00D23617" w:rsidP="001D1792">
      <w:pPr>
        <w:rPr>
          <w:i/>
          <w:iCs/>
        </w:rPr>
      </w:pPr>
    </w:p>
    <w:p w14:paraId="050E8EE1" w14:textId="1A8BFD8C" w:rsidR="00D23617" w:rsidRDefault="00D23617" w:rsidP="001D1792">
      <w:pPr>
        <w:rPr>
          <w:i/>
          <w:iCs/>
        </w:rPr>
      </w:pPr>
    </w:p>
    <w:p w14:paraId="078A92FE" w14:textId="6A35D76A" w:rsidR="00D23617" w:rsidRDefault="00D23617" w:rsidP="001D1792">
      <w:pPr>
        <w:rPr>
          <w:i/>
          <w:iCs/>
        </w:rPr>
      </w:pPr>
    </w:p>
    <w:p w14:paraId="2E95DFBD" w14:textId="46B53485" w:rsidR="00D23617" w:rsidRDefault="00D23617" w:rsidP="001D1792">
      <w:pPr>
        <w:rPr>
          <w:i/>
          <w:iCs/>
        </w:rPr>
      </w:pPr>
    </w:p>
    <w:p w14:paraId="30ACAA82" w14:textId="6B160F0C" w:rsidR="00D23617" w:rsidRDefault="00D23617" w:rsidP="001D1792">
      <w:pPr>
        <w:rPr>
          <w:i/>
          <w:iCs/>
        </w:rPr>
      </w:pPr>
    </w:p>
    <w:p w14:paraId="484C26AF" w14:textId="2C74F3FF" w:rsidR="00D23617" w:rsidRDefault="00D23617" w:rsidP="001D1792">
      <w:pPr>
        <w:rPr>
          <w:i/>
          <w:iCs/>
        </w:rPr>
      </w:pPr>
    </w:p>
    <w:p w14:paraId="1DC1511C" w14:textId="1C515FFD" w:rsidR="00D23617" w:rsidRDefault="00D23617" w:rsidP="001D1792">
      <w:pPr>
        <w:rPr>
          <w:i/>
          <w:iCs/>
        </w:rPr>
      </w:pPr>
    </w:p>
    <w:p w14:paraId="78DC24F4" w14:textId="30829FC0" w:rsidR="00D23617" w:rsidRDefault="00D23617" w:rsidP="001D1792">
      <w:pPr>
        <w:rPr>
          <w:i/>
          <w:iCs/>
        </w:rPr>
      </w:pPr>
    </w:p>
    <w:p w14:paraId="1E374D03" w14:textId="4A9231C6" w:rsidR="00D23617" w:rsidRDefault="00D23617" w:rsidP="001D1792">
      <w:pPr>
        <w:rPr>
          <w:i/>
          <w:iCs/>
        </w:rPr>
      </w:pPr>
    </w:p>
    <w:p w14:paraId="658C4FEB" w14:textId="52E2E627" w:rsidR="00D23617" w:rsidRDefault="00D23617" w:rsidP="001D1792">
      <w:pPr>
        <w:rPr>
          <w:i/>
          <w:iCs/>
        </w:rPr>
      </w:pPr>
    </w:p>
    <w:p w14:paraId="65A442B4" w14:textId="699FD9BE" w:rsidR="00D23617" w:rsidRDefault="00D23617" w:rsidP="001D1792">
      <w:pPr>
        <w:rPr>
          <w:i/>
          <w:iCs/>
        </w:rPr>
      </w:pPr>
    </w:p>
    <w:p w14:paraId="34712C82" w14:textId="74C552F0" w:rsidR="00D23617" w:rsidRDefault="00D23617" w:rsidP="001D1792">
      <w:pPr>
        <w:rPr>
          <w:i/>
          <w:iCs/>
        </w:rPr>
      </w:pPr>
    </w:p>
    <w:p w14:paraId="510BA79D" w14:textId="472A1790" w:rsidR="00D23617" w:rsidRDefault="00D23617" w:rsidP="001D1792">
      <w:pPr>
        <w:rPr>
          <w:i/>
          <w:iCs/>
        </w:rPr>
      </w:pPr>
    </w:p>
    <w:p w14:paraId="34D6CDDF" w14:textId="2FA4C6B2" w:rsidR="00D23617" w:rsidRDefault="00D23617" w:rsidP="001D1792">
      <w:pPr>
        <w:rPr>
          <w:i/>
          <w:iCs/>
        </w:rPr>
      </w:pPr>
    </w:p>
    <w:p w14:paraId="5F67569B" w14:textId="1A725E24" w:rsidR="00D23617" w:rsidRDefault="00D23617" w:rsidP="001D1792">
      <w:pPr>
        <w:rPr>
          <w:i/>
          <w:iCs/>
        </w:rPr>
      </w:pPr>
    </w:p>
    <w:p w14:paraId="309238C9" w14:textId="74994937" w:rsidR="00D23617" w:rsidRDefault="00D23617" w:rsidP="001D1792">
      <w:pPr>
        <w:rPr>
          <w:i/>
          <w:iCs/>
        </w:rPr>
      </w:pPr>
    </w:p>
    <w:p w14:paraId="379AA6C9" w14:textId="42FD44C3" w:rsidR="00D23617" w:rsidRDefault="00D23617" w:rsidP="001D1792">
      <w:pPr>
        <w:rPr>
          <w:i/>
          <w:iCs/>
        </w:rPr>
      </w:pPr>
    </w:p>
    <w:p w14:paraId="0943BB38" w14:textId="067206AC" w:rsidR="00D23617" w:rsidRDefault="00D23617" w:rsidP="001D1792">
      <w:pPr>
        <w:rPr>
          <w:i/>
          <w:iCs/>
        </w:rPr>
      </w:pPr>
    </w:p>
    <w:p w14:paraId="5F76B838" w14:textId="68861DF9" w:rsidR="00D23617" w:rsidRDefault="00D23617" w:rsidP="001D1792">
      <w:pPr>
        <w:rPr>
          <w:i/>
          <w:iCs/>
        </w:rPr>
      </w:pPr>
    </w:p>
    <w:p w14:paraId="7C38CD4B" w14:textId="2A28AF68" w:rsidR="00D23617" w:rsidRDefault="00D23617" w:rsidP="001D1792">
      <w:pPr>
        <w:rPr>
          <w:i/>
          <w:iCs/>
        </w:rPr>
      </w:pPr>
    </w:p>
    <w:p w14:paraId="75DDF7AE" w14:textId="5F73B250" w:rsidR="00D23617" w:rsidRDefault="00D23617" w:rsidP="001D1792">
      <w:pPr>
        <w:rPr>
          <w:i/>
          <w:iCs/>
        </w:rPr>
      </w:pPr>
    </w:p>
    <w:p w14:paraId="748C9AAD" w14:textId="5116C31A" w:rsidR="00D23617" w:rsidRDefault="00D23617" w:rsidP="001D1792">
      <w:pPr>
        <w:rPr>
          <w:i/>
          <w:iCs/>
        </w:rPr>
      </w:pPr>
    </w:p>
    <w:p w14:paraId="714797C8" w14:textId="6296BD9A" w:rsidR="00D23617" w:rsidRDefault="00D23617" w:rsidP="001D1792">
      <w:pPr>
        <w:rPr>
          <w:i/>
          <w:iCs/>
        </w:rPr>
      </w:pPr>
    </w:p>
    <w:p w14:paraId="4BF4B727" w14:textId="062336D4" w:rsidR="00D23617" w:rsidRDefault="00D23617" w:rsidP="001D1792">
      <w:pPr>
        <w:rPr>
          <w:i/>
          <w:iCs/>
        </w:rPr>
      </w:pPr>
    </w:p>
    <w:p w14:paraId="0FFB0676" w14:textId="2C338D1F" w:rsidR="00D23617" w:rsidRDefault="00D23617" w:rsidP="001D1792">
      <w:pPr>
        <w:rPr>
          <w:i/>
          <w:iCs/>
        </w:rPr>
      </w:pPr>
    </w:p>
    <w:p w14:paraId="0F607136" w14:textId="77777777" w:rsidR="00D23617" w:rsidRDefault="00D23617" w:rsidP="001D1792">
      <w:pPr>
        <w:rPr>
          <w:i/>
          <w:iCs/>
        </w:rPr>
      </w:pPr>
    </w:p>
    <w:p w14:paraId="30A1DDC1" w14:textId="465D841F" w:rsidR="005234CF" w:rsidRDefault="007C5643" w:rsidP="001D1792">
      <w:pPr>
        <w:pStyle w:val="ListParagraph"/>
        <w:numPr>
          <w:ilvl w:val="0"/>
          <w:numId w:val="15"/>
        </w:numPr>
        <w:rPr>
          <w:i/>
          <w:iCs/>
        </w:rPr>
      </w:pPr>
      <w:r>
        <w:rPr>
          <w:i/>
          <w:iCs/>
        </w:rPr>
        <w:t xml:space="preserve">Please describe </w:t>
      </w:r>
      <w:r w:rsidR="00804EB5">
        <w:rPr>
          <w:i/>
          <w:iCs/>
        </w:rPr>
        <w:t>your</w:t>
      </w:r>
      <w:r>
        <w:rPr>
          <w:i/>
          <w:iCs/>
        </w:rPr>
        <w:t xml:space="preserve"> recommendations for </w:t>
      </w:r>
      <w:r w:rsidR="00804EB5">
        <w:rPr>
          <w:i/>
          <w:iCs/>
        </w:rPr>
        <w:t>how</w:t>
      </w:r>
      <w:r>
        <w:rPr>
          <w:i/>
          <w:iCs/>
        </w:rPr>
        <w:t xml:space="preserve"> HMRC </w:t>
      </w:r>
      <w:r w:rsidR="00804EB5">
        <w:rPr>
          <w:i/>
          <w:iCs/>
        </w:rPr>
        <w:t xml:space="preserve">should change the way that it </w:t>
      </w:r>
      <w:r>
        <w:rPr>
          <w:i/>
          <w:iCs/>
        </w:rPr>
        <w:t xml:space="preserve">implements </w:t>
      </w:r>
      <w:r w:rsidR="00990E52">
        <w:rPr>
          <w:i/>
          <w:iCs/>
        </w:rPr>
        <w:t>this</w:t>
      </w:r>
      <w:r>
        <w:rPr>
          <w:i/>
          <w:iCs/>
        </w:rPr>
        <w:t xml:space="preserve"> power</w:t>
      </w:r>
      <w:r w:rsidR="00804EB5">
        <w:rPr>
          <w:i/>
          <w:iCs/>
        </w:rPr>
        <w:t xml:space="preserve"> to make </w:t>
      </w:r>
      <w:r w:rsidR="00990E52">
        <w:rPr>
          <w:i/>
          <w:iCs/>
        </w:rPr>
        <w:t xml:space="preserve">it </w:t>
      </w:r>
      <w:r w:rsidR="00804EB5">
        <w:rPr>
          <w:i/>
          <w:iCs/>
        </w:rPr>
        <w:t>fairer/ more transparent for taxpayers</w:t>
      </w:r>
      <w:r w:rsidR="00990E52">
        <w:rPr>
          <w:i/>
          <w:iCs/>
        </w:rPr>
        <w:t xml:space="preserve"> (or powers, if you are providing a case study which covers multiple powers):</w:t>
      </w:r>
    </w:p>
    <w:p w14:paraId="16A26025" w14:textId="5893ACC2" w:rsidR="00AA26E7" w:rsidRDefault="00711A5B" w:rsidP="00AA26E7">
      <w:pPr>
        <w:ind w:left="360"/>
        <w:rPr>
          <w:i/>
          <w:iCs/>
        </w:rPr>
      </w:pPr>
      <w:r w:rsidRPr="00711A5B">
        <w:rPr>
          <w:i/>
          <w:iCs/>
          <w:noProof/>
        </w:rPr>
        <mc:AlternateContent>
          <mc:Choice Requires="wps">
            <w:drawing>
              <wp:anchor distT="45720" distB="45720" distL="114300" distR="114300" simplePos="0" relativeHeight="251663360" behindDoc="0" locked="0" layoutInCell="1" allowOverlap="1" wp14:anchorId="34578131" wp14:editId="1889EAF2">
                <wp:simplePos x="0" y="0"/>
                <wp:positionH relativeFrom="column">
                  <wp:posOffset>381000</wp:posOffset>
                </wp:positionH>
                <wp:positionV relativeFrom="paragraph">
                  <wp:posOffset>184150</wp:posOffset>
                </wp:positionV>
                <wp:extent cx="5267325" cy="3952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952875"/>
                        </a:xfrm>
                        <a:prstGeom prst="rect">
                          <a:avLst/>
                        </a:prstGeom>
                        <a:solidFill>
                          <a:srgbClr val="FFFFFF"/>
                        </a:solidFill>
                        <a:ln w="9525">
                          <a:solidFill>
                            <a:srgbClr val="000000"/>
                          </a:solidFill>
                          <a:miter lim="800000"/>
                          <a:headEnd/>
                          <a:tailEnd/>
                        </a:ln>
                      </wps:spPr>
                      <wps:txbx>
                        <w:txbxContent>
                          <w:p w14:paraId="4E1085BF" w14:textId="108B10BD" w:rsidR="00711A5B" w:rsidRDefault="00711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78131" id="_x0000_t202" coordsize="21600,21600" o:spt="202" path="m,l,21600r21600,l21600,xe">
                <v:stroke joinstyle="miter"/>
                <v:path gradientshapeok="t" o:connecttype="rect"/>
              </v:shapetype>
              <v:shape id="_x0000_s1028" type="#_x0000_t202" style="position:absolute;left:0;text-align:left;margin-left:30pt;margin-top:14.5pt;width:414.75pt;height:3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">
                <v:textbox>
                  <w:txbxContent>
                    <w:p w14:paraId="4E1085BF" w14:textId="108B10BD" w:rsidR="00711A5B" w:rsidRDefault="00711A5B"/>
                  </w:txbxContent>
                </v:textbox>
                <w10:wrap type="square"/>
              </v:shape>
            </w:pict>
          </mc:Fallback>
        </mc:AlternateContent>
      </w:r>
    </w:p>
    <w:p w14:paraId="1F896400" w14:textId="74CE2406" w:rsidR="00D23617" w:rsidRDefault="00D23617" w:rsidP="00AA26E7">
      <w:pPr>
        <w:ind w:left="360"/>
        <w:rPr>
          <w:i/>
          <w:iCs/>
        </w:rPr>
      </w:pPr>
    </w:p>
    <w:p w14:paraId="2348EAB9" w14:textId="3F618E74" w:rsidR="00D23617" w:rsidRDefault="00D23617" w:rsidP="00AA26E7">
      <w:pPr>
        <w:ind w:left="360"/>
        <w:rPr>
          <w:i/>
          <w:iCs/>
        </w:rPr>
      </w:pPr>
    </w:p>
    <w:p w14:paraId="1CA2CA6A" w14:textId="2C3C08EB" w:rsidR="00D23617" w:rsidRDefault="00D23617" w:rsidP="00AA26E7">
      <w:pPr>
        <w:ind w:left="360"/>
        <w:rPr>
          <w:i/>
          <w:iCs/>
        </w:rPr>
      </w:pPr>
    </w:p>
    <w:p w14:paraId="162EF2FE" w14:textId="222CC906" w:rsidR="00D23617" w:rsidRDefault="00D23617" w:rsidP="00AA26E7">
      <w:pPr>
        <w:ind w:left="360"/>
        <w:rPr>
          <w:i/>
          <w:iCs/>
        </w:rPr>
      </w:pPr>
    </w:p>
    <w:p w14:paraId="2B28C159" w14:textId="77777777" w:rsidR="00D23617" w:rsidRPr="00AA26E7" w:rsidRDefault="00D23617" w:rsidP="00AA26E7">
      <w:pPr>
        <w:ind w:left="360"/>
        <w:rPr>
          <w:i/>
          <w:iCs/>
        </w:rPr>
      </w:pPr>
    </w:p>
    <w:p w14:paraId="7CF8893F" w14:textId="77777777" w:rsidR="002C0D09" w:rsidRDefault="002C0D09" w:rsidP="00FB7D9B">
      <w:pPr>
        <w:pStyle w:val="ListParagraph"/>
        <w:rPr>
          <w:i/>
          <w:iCs/>
        </w:rPr>
      </w:pPr>
    </w:p>
    <w:p w14:paraId="19518D2C" w14:textId="77777777" w:rsidR="002C0D09" w:rsidRDefault="002C0D09" w:rsidP="00FB7D9B">
      <w:pPr>
        <w:pStyle w:val="ListParagraph"/>
        <w:rPr>
          <w:i/>
          <w:iCs/>
        </w:rPr>
      </w:pPr>
    </w:p>
    <w:p w14:paraId="4CC50D14" w14:textId="65B62FB8" w:rsidR="00686B86" w:rsidRDefault="005234CF" w:rsidP="00686B86">
      <w:pPr>
        <w:pStyle w:val="ListParagraph"/>
        <w:numPr>
          <w:ilvl w:val="0"/>
          <w:numId w:val="15"/>
        </w:numPr>
        <w:rPr>
          <w:i/>
          <w:iCs/>
        </w:rPr>
      </w:pPr>
      <w:r>
        <w:rPr>
          <w:i/>
          <w:iCs/>
        </w:rPr>
        <w:t xml:space="preserve">Do you have other feedback on HMRC’s implementation of </w:t>
      </w:r>
      <w:r w:rsidR="00940FF9">
        <w:rPr>
          <w:i/>
          <w:iCs/>
        </w:rPr>
        <w:t>this</w:t>
      </w:r>
      <w:r w:rsidR="0052030A">
        <w:rPr>
          <w:i/>
          <w:iCs/>
        </w:rPr>
        <w:t xml:space="preserve"> power</w:t>
      </w:r>
      <w:r>
        <w:rPr>
          <w:i/>
          <w:iCs/>
        </w:rPr>
        <w:t>, or know of external analysis or evidence</w:t>
      </w:r>
      <w:r w:rsidR="006B5504">
        <w:rPr>
          <w:i/>
          <w:iCs/>
        </w:rPr>
        <w:t xml:space="preserve"> that</w:t>
      </w:r>
      <w:r>
        <w:rPr>
          <w:i/>
          <w:iCs/>
        </w:rPr>
        <w:t xml:space="preserve"> HMRC ought to consider</w:t>
      </w:r>
      <w:r w:rsidR="005D4D2D">
        <w:rPr>
          <w:i/>
          <w:iCs/>
        </w:rPr>
        <w:t xml:space="preserve"> (e.g. as a part of a literature review)</w:t>
      </w:r>
      <w:r>
        <w:rPr>
          <w:i/>
          <w:iCs/>
        </w:rPr>
        <w:t>? If so,</w:t>
      </w:r>
      <w:r w:rsidR="00CD14C8">
        <w:rPr>
          <w:i/>
          <w:iCs/>
        </w:rPr>
        <w:t xml:space="preserve"> please</w:t>
      </w:r>
      <w:r>
        <w:rPr>
          <w:i/>
          <w:iCs/>
        </w:rPr>
        <w:t xml:space="preserve"> provide it here</w:t>
      </w:r>
      <w:r w:rsidR="006B5504">
        <w:rPr>
          <w:i/>
          <w:iCs/>
        </w:rPr>
        <w:t>:</w:t>
      </w:r>
    </w:p>
    <w:p w14:paraId="4E8CAA28" w14:textId="3D412144" w:rsidR="00D23617" w:rsidRDefault="00711A5B" w:rsidP="00D23617">
      <w:pPr>
        <w:rPr>
          <w:i/>
          <w:iCs/>
        </w:rPr>
      </w:pPr>
      <w:r w:rsidRPr="00711A5B">
        <w:rPr>
          <w:i/>
          <w:iCs/>
          <w:noProof/>
        </w:rPr>
        <mc:AlternateContent>
          <mc:Choice Requires="wps">
            <w:drawing>
              <wp:anchor distT="45720" distB="45720" distL="114300" distR="114300" simplePos="0" relativeHeight="251665408" behindDoc="0" locked="0" layoutInCell="1" allowOverlap="1" wp14:anchorId="06A5F14B" wp14:editId="6FED6DFA">
                <wp:simplePos x="0" y="0"/>
                <wp:positionH relativeFrom="column">
                  <wp:posOffset>390525</wp:posOffset>
                </wp:positionH>
                <wp:positionV relativeFrom="paragraph">
                  <wp:posOffset>75565</wp:posOffset>
                </wp:positionV>
                <wp:extent cx="5305425" cy="2028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028825"/>
                        </a:xfrm>
                        <a:prstGeom prst="rect">
                          <a:avLst/>
                        </a:prstGeom>
                        <a:solidFill>
                          <a:srgbClr val="FFFFFF"/>
                        </a:solidFill>
                        <a:ln w="9525">
                          <a:solidFill>
                            <a:srgbClr val="000000"/>
                          </a:solidFill>
                          <a:miter lim="800000"/>
                          <a:headEnd/>
                          <a:tailEnd/>
                        </a:ln>
                      </wps:spPr>
                      <wps:txbx>
                        <w:txbxContent>
                          <w:p w14:paraId="420DDBAE" w14:textId="72712605" w:rsidR="00711A5B" w:rsidRDefault="00711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5F14B" id="_x0000_s1029" type="#_x0000_t202" style="position:absolute;margin-left:30.75pt;margin-top:5.95pt;width:417.75pt;height:15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">
                <v:textbox>
                  <w:txbxContent>
                    <w:p w14:paraId="420DDBAE" w14:textId="72712605" w:rsidR="00711A5B" w:rsidRDefault="00711A5B"/>
                  </w:txbxContent>
                </v:textbox>
                <w10:wrap type="square"/>
              </v:shape>
            </w:pict>
          </mc:Fallback>
        </mc:AlternateContent>
      </w:r>
    </w:p>
    <w:p w14:paraId="16F1B9A4" w14:textId="526B935B" w:rsidR="00D23617" w:rsidRDefault="00D23617" w:rsidP="00D23617">
      <w:pPr>
        <w:rPr>
          <w:i/>
          <w:iCs/>
        </w:rPr>
      </w:pPr>
    </w:p>
    <w:p w14:paraId="0400EE8B" w14:textId="32CBEDDD" w:rsidR="00D23617" w:rsidRDefault="00D23617" w:rsidP="00D23617">
      <w:pPr>
        <w:rPr>
          <w:i/>
          <w:iCs/>
        </w:rPr>
      </w:pPr>
    </w:p>
    <w:p w14:paraId="547106EF" w14:textId="0F23DBE3" w:rsidR="00D23617" w:rsidRDefault="00D23617" w:rsidP="00D23617">
      <w:pPr>
        <w:rPr>
          <w:i/>
          <w:iCs/>
        </w:rPr>
      </w:pPr>
    </w:p>
    <w:p w14:paraId="3D14BFA4" w14:textId="0F0B6DB1" w:rsidR="003744FA" w:rsidRDefault="003744FA">
      <w:pPr>
        <w:rPr>
          <w:i/>
          <w:iCs/>
        </w:rPr>
      </w:pPr>
      <w:r>
        <w:rPr>
          <w:i/>
          <w:iCs/>
        </w:rPr>
        <w:br w:type="page"/>
      </w:r>
    </w:p>
    <w:p w14:paraId="447BE92E" w14:textId="77777777" w:rsidR="00D23617" w:rsidRPr="008D5FB0" w:rsidRDefault="00D23617" w:rsidP="008D5FB0">
      <w:pPr>
        <w:rPr>
          <w:i/>
          <w:iCs/>
        </w:rPr>
      </w:pPr>
    </w:p>
    <w:p w14:paraId="6CF47752" w14:textId="77777777" w:rsidR="00943DF7" w:rsidRPr="00943DF7" w:rsidRDefault="00943DF7" w:rsidP="00943DF7">
      <w:pPr>
        <w:pStyle w:val="ListParagraph"/>
        <w:rPr>
          <w:i/>
          <w:iCs/>
        </w:rPr>
      </w:pPr>
    </w:p>
    <w:p w14:paraId="3FC31730" w14:textId="30849BDA" w:rsidR="00A05B8F" w:rsidRDefault="00381F50" w:rsidP="00381F50">
      <w:pPr>
        <w:pStyle w:val="Heading1"/>
        <w:spacing w:after="240"/>
        <w:rPr>
          <w:b/>
          <w:color w:val="auto"/>
          <w:u w:val="single"/>
        </w:rPr>
      </w:pPr>
      <w:bookmarkStart w:id="3" w:name="_Toc21977349"/>
      <w:r w:rsidRPr="00381F50">
        <w:rPr>
          <w:b/>
          <w:color w:val="auto"/>
          <w:u w:val="single"/>
        </w:rPr>
        <w:t>Annex A: the 2005-12 powers and safeguard principles</w:t>
      </w:r>
      <w:bookmarkEnd w:id="3"/>
      <w:r w:rsidR="00B61F50">
        <w:rPr>
          <w:b/>
          <w:color w:val="auto"/>
          <w:u w:val="single"/>
        </w:rPr>
        <w:t xml:space="preserve"> </w:t>
      </w:r>
    </w:p>
    <w:p w14:paraId="3A5D514C" w14:textId="77777777" w:rsidR="00745661" w:rsidRPr="00745661" w:rsidRDefault="00745661" w:rsidP="00745661">
      <w:pPr>
        <w:rPr>
          <w:i/>
        </w:rPr>
      </w:pPr>
      <w:r>
        <w:rPr>
          <w:i/>
        </w:rPr>
        <w:t xml:space="preserve">These principles should be considered with the mandate of the evaluation in mind – i.e. focusing on the elements particularly relevant to the appropriate implementation of a power. These elements are underlined. </w:t>
      </w:r>
    </w:p>
    <w:p w14:paraId="2904A7AE" w14:textId="77777777" w:rsidR="00381F50" w:rsidRPr="00745661" w:rsidRDefault="00381F50" w:rsidP="00381F50">
      <w:pPr>
        <w:spacing w:before="240" w:line="360" w:lineRule="auto"/>
        <w:contextualSpacing/>
        <w:rPr>
          <w:u w:val="single"/>
        </w:rPr>
      </w:pPr>
      <w:r w:rsidRPr="00745661">
        <w:rPr>
          <w:u w:val="single"/>
        </w:rPr>
        <w:t xml:space="preserve">Powers and the statutory obligations they impose need to be: </w:t>
      </w:r>
    </w:p>
    <w:p w14:paraId="32A1743C" w14:textId="77777777" w:rsidR="00381F50" w:rsidRPr="00745661" w:rsidRDefault="00381F50" w:rsidP="00381F50">
      <w:pPr>
        <w:pStyle w:val="ListParagraph"/>
        <w:numPr>
          <w:ilvl w:val="0"/>
          <w:numId w:val="9"/>
        </w:numPr>
        <w:spacing w:before="240" w:line="360" w:lineRule="auto"/>
      </w:pPr>
      <w:r w:rsidRPr="00745661">
        <w:t xml:space="preserve">set within a clear statutory framework, </w:t>
      </w:r>
    </w:p>
    <w:p w14:paraId="76F4FA36" w14:textId="77777777" w:rsidR="00381F50" w:rsidRPr="00745661" w:rsidRDefault="00381F50" w:rsidP="00381F50">
      <w:pPr>
        <w:pStyle w:val="ListParagraph"/>
        <w:numPr>
          <w:ilvl w:val="0"/>
          <w:numId w:val="9"/>
        </w:numPr>
        <w:spacing w:before="240" w:line="360" w:lineRule="auto"/>
        <w:rPr>
          <w:u w:val="single"/>
        </w:rPr>
      </w:pPr>
      <w:r w:rsidRPr="00745661">
        <w:rPr>
          <w:u w:val="single"/>
        </w:rPr>
        <w:t xml:space="preserve">easily understood—by taxpayers, their agents and HMRC staff, </w:t>
      </w:r>
    </w:p>
    <w:p w14:paraId="2F2FD058" w14:textId="77777777" w:rsidR="00381F50" w:rsidRPr="00745661" w:rsidRDefault="00381F50" w:rsidP="00381F50">
      <w:pPr>
        <w:pStyle w:val="ListParagraph"/>
        <w:numPr>
          <w:ilvl w:val="0"/>
          <w:numId w:val="9"/>
        </w:numPr>
        <w:spacing w:before="240" w:line="360" w:lineRule="auto"/>
        <w:rPr>
          <w:u w:val="single"/>
        </w:rPr>
      </w:pPr>
      <w:r w:rsidRPr="00745661">
        <w:rPr>
          <w:u w:val="single"/>
        </w:rPr>
        <w:t xml:space="preserve">straightforward to comply with, </w:t>
      </w:r>
    </w:p>
    <w:p w14:paraId="58589B01" w14:textId="77777777" w:rsidR="00381F50" w:rsidRPr="00745661" w:rsidRDefault="00381F50" w:rsidP="00381F50">
      <w:pPr>
        <w:pStyle w:val="ListParagraph"/>
        <w:numPr>
          <w:ilvl w:val="0"/>
          <w:numId w:val="9"/>
        </w:numPr>
        <w:spacing w:before="240" w:line="360" w:lineRule="auto"/>
        <w:rPr>
          <w:u w:val="single"/>
        </w:rPr>
      </w:pPr>
      <w:r w:rsidRPr="00745661">
        <w:rPr>
          <w:u w:val="single"/>
        </w:rPr>
        <w:t xml:space="preserve">proportionate to what HMRC needs to discharge its responsibilities or to protect the Exchequer from the risk assessed, </w:t>
      </w:r>
    </w:p>
    <w:p w14:paraId="5A3F69CD" w14:textId="77777777" w:rsidR="00381F50" w:rsidRPr="00745661" w:rsidRDefault="00381F50" w:rsidP="00381F50">
      <w:pPr>
        <w:pStyle w:val="ListParagraph"/>
        <w:numPr>
          <w:ilvl w:val="0"/>
          <w:numId w:val="9"/>
        </w:numPr>
        <w:spacing w:before="240" w:line="360" w:lineRule="auto"/>
        <w:rPr>
          <w:u w:val="single"/>
        </w:rPr>
      </w:pPr>
      <w:r w:rsidRPr="00745661">
        <w:rPr>
          <w:u w:val="single"/>
        </w:rPr>
        <w:t xml:space="preserve">used consistently, </w:t>
      </w:r>
    </w:p>
    <w:p w14:paraId="4DCAC1A7" w14:textId="77777777" w:rsidR="00381F50" w:rsidRPr="00745661" w:rsidRDefault="00381F50" w:rsidP="00381F50">
      <w:pPr>
        <w:pStyle w:val="ListParagraph"/>
        <w:numPr>
          <w:ilvl w:val="0"/>
          <w:numId w:val="9"/>
        </w:numPr>
        <w:spacing w:before="240" w:line="360" w:lineRule="auto"/>
        <w:rPr>
          <w:u w:val="single"/>
        </w:rPr>
      </w:pPr>
      <w:r w:rsidRPr="00745661">
        <w:rPr>
          <w:u w:val="single"/>
        </w:rPr>
        <w:t xml:space="preserve">effective in providing the information HMRC needs to assess risk, and </w:t>
      </w:r>
    </w:p>
    <w:p w14:paraId="7673F7E2" w14:textId="77777777" w:rsidR="00381F50" w:rsidRPr="00745661" w:rsidRDefault="00381F50" w:rsidP="00381F50">
      <w:pPr>
        <w:pStyle w:val="ListParagraph"/>
        <w:numPr>
          <w:ilvl w:val="0"/>
          <w:numId w:val="9"/>
        </w:numPr>
        <w:spacing w:before="240" w:line="360" w:lineRule="auto"/>
        <w:rPr>
          <w:u w:val="single"/>
        </w:rPr>
      </w:pPr>
      <w:r w:rsidRPr="00745661">
        <w:rPr>
          <w:u w:val="single"/>
        </w:rPr>
        <w:t xml:space="preserve">effective in discovering and dealing with non-compliance and in helping people to return to compliance. </w:t>
      </w:r>
    </w:p>
    <w:p w14:paraId="59F99F99" w14:textId="77777777" w:rsidR="00381F50" w:rsidRPr="00745661" w:rsidRDefault="00381F50" w:rsidP="00381F50">
      <w:pPr>
        <w:spacing w:before="240" w:line="360" w:lineRule="auto"/>
        <w:contextualSpacing/>
        <w:rPr>
          <w:u w:val="single"/>
        </w:rPr>
      </w:pPr>
      <w:r w:rsidRPr="00745661">
        <w:rPr>
          <w:u w:val="single"/>
        </w:rPr>
        <w:t xml:space="preserve">Safeguards for citizens and businesses must be: </w:t>
      </w:r>
    </w:p>
    <w:p w14:paraId="586C8C38" w14:textId="77777777" w:rsidR="00381F50" w:rsidRPr="00745661" w:rsidRDefault="00381F50" w:rsidP="00381F50">
      <w:pPr>
        <w:pStyle w:val="ListParagraph"/>
        <w:numPr>
          <w:ilvl w:val="0"/>
          <w:numId w:val="8"/>
        </w:numPr>
        <w:spacing w:before="240" w:line="360" w:lineRule="auto"/>
        <w:rPr>
          <w:u w:val="single"/>
        </w:rPr>
      </w:pPr>
      <w:r w:rsidRPr="00745661">
        <w:rPr>
          <w:u w:val="single"/>
        </w:rPr>
        <w:t xml:space="preserve">clear, </w:t>
      </w:r>
    </w:p>
    <w:p w14:paraId="574C1FCD" w14:textId="77777777" w:rsidR="00381F50" w:rsidRPr="00745661" w:rsidRDefault="00381F50" w:rsidP="00381F50">
      <w:pPr>
        <w:pStyle w:val="ListParagraph"/>
        <w:numPr>
          <w:ilvl w:val="0"/>
          <w:numId w:val="8"/>
        </w:numPr>
        <w:spacing w:before="240" w:line="360" w:lineRule="auto"/>
        <w:rPr>
          <w:u w:val="single"/>
        </w:rPr>
      </w:pPr>
      <w:r w:rsidRPr="00745661">
        <w:rPr>
          <w:u w:val="single"/>
        </w:rPr>
        <w:t xml:space="preserve">publicised, </w:t>
      </w:r>
    </w:p>
    <w:p w14:paraId="1E6CE50D" w14:textId="77777777" w:rsidR="00381F50" w:rsidRPr="00745661" w:rsidRDefault="00381F50" w:rsidP="00381F50">
      <w:pPr>
        <w:pStyle w:val="ListParagraph"/>
        <w:numPr>
          <w:ilvl w:val="0"/>
          <w:numId w:val="8"/>
        </w:numPr>
        <w:spacing w:before="240" w:line="360" w:lineRule="auto"/>
        <w:rPr>
          <w:u w:val="single"/>
        </w:rPr>
      </w:pPr>
      <w:r w:rsidRPr="00745661">
        <w:rPr>
          <w:u w:val="single"/>
        </w:rPr>
        <w:t xml:space="preserve">accessible, </w:t>
      </w:r>
    </w:p>
    <w:p w14:paraId="529BD493" w14:textId="77777777" w:rsidR="00381F50" w:rsidRPr="00745661" w:rsidRDefault="00381F50" w:rsidP="00381F50">
      <w:pPr>
        <w:pStyle w:val="ListParagraph"/>
        <w:numPr>
          <w:ilvl w:val="0"/>
          <w:numId w:val="8"/>
        </w:numPr>
        <w:spacing w:before="240" w:line="360" w:lineRule="auto"/>
        <w:rPr>
          <w:u w:val="single"/>
        </w:rPr>
      </w:pPr>
      <w:r w:rsidRPr="00745661">
        <w:rPr>
          <w:u w:val="single"/>
        </w:rPr>
        <w:t xml:space="preserve">effective, </w:t>
      </w:r>
    </w:p>
    <w:p w14:paraId="3F36F5BA" w14:textId="77777777" w:rsidR="00381F50" w:rsidRPr="00745661" w:rsidRDefault="00381F50" w:rsidP="00381F50">
      <w:pPr>
        <w:pStyle w:val="ListParagraph"/>
        <w:numPr>
          <w:ilvl w:val="0"/>
          <w:numId w:val="8"/>
        </w:numPr>
        <w:spacing w:before="240" w:line="360" w:lineRule="auto"/>
        <w:rPr>
          <w:u w:val="single"/>
        </w:rPr>
      </w:pPr>
      <w:r w:rsidRPr="00745661">
        <w:rPr>
          <w:u w:val="single"/>
        </w:rPr>
        <w:t xml:space="preserve">responsive to the nature and purpose of particular powers and sanctions, and </w:t>
      </w:r>
    </w:p>
    <w:p w14:paraId="3A7DB0BF" w14:textId="77777777" w:rsidR="00381F50" w:rsidRPr="00745661" w:rsidRDefault="00381F50" w:rsidP="00381F50">
      <w:pPr>
        <w:pStyle w:val="ListParagraph"/>
        <w:numPr>
          <w:ilvl w:val="0"/>
          <w:numId w:val="8"/>
        </w:numPr>
        <w:spacing w:before="240" w:line="360" w:lineRule="auto"/>
        <w:rPr>
          <w:u w:val="single"/>
        </w:rPr>
      </w:pPr>
      <w:r w:rsidRPr="00745661">
        <w:rPr>
          <w:u w:val="single"/>
        </w:rPr>
        <w:t xml:space="preserve">conformant with human rights and other relevant non-tax legislation. </w:t>
      </w:r>
    </w:p>
    <w:p w14:paraId="02F25081" w14:textId="77777777" w:rsidR="00381F50" w:rsidRPr="00745661" w:rsidRDefault="00381F50" w:rsidP="00381F50">
      <w:pPr>
        <w:spacing w:before="240" w:line="360" w:lineRule="auto"/>
        <w:contextualSpacing/>
        <w:rPr>
          <w:u w:val="single"/>
        </w:rPr>
      </w:pPr>
      <w:r w:rsidRPr="00745661">
        <w:rPr>
          <w:u w:val="single"/>
        </w:rPr>
        <w:t xml:space="preserve">Sanctions for non-compliance must be: </w:t>
      </w:r>
    </w:p>
    <w:p w14:paraId="2507126C" w14:textId="77777777" w:rsidR="00381F50" w:rsidRPr="00745661" w:rsidRDefault="00381F50" w:rsidP="00381F50">
      <w:pPr>
        <w:pStyle w:val="ListParagraph"/>
        <w:numPr>
          <w:ilvl w:val="0"/>
          <w:numId w:val="7"/>
        </w:numPr>
        <w:spacing w:before="240" w:line="360" w:lineRule="auto"/>
      </w:pPr>
      <w:r w:rsidRPr="00745661">
        <w:t xml:space="preserve">set in statute, </w:t>
      </w:r>
    </w:p>
    <w:p w14:paraId="1B5A7D80" w14:textId="77777777" w:rsidR="00381F50" w:rsidRPr="00745661" w:rsidRDefault="00381F50" w:rsidP="00381F50">
      <w:pPr>
        <w:pStyle w:val="ListParagraph"/>
        <w:numPr>
          <w:ilvl w:val="0"/>
          <w:numId w:val="7"/>
        </w:numPr>
        <w:spacing w:before="240" w:line="360" w:lineRule="auto"/>
        <w:rPr>
          <w:u w:val="single"/>
        </w:rPr>
      </w:pPr>
      <w:r w:rsidRPr="00745661">
        <w:rPr>
          <w:u w:val="single"/>
        </w:rPr>
        <w:t xml:space="preserve">clear and publicised, </w:t>
      </w:r>
    </w:p>
    <w:p w14:paraId="798D4DD2" w14:textId="77777777" w:rsidR="00381F50" w:rsidRPr="00745661" w:rsidRDefault="00381F50" w:rsidP="00381F50">
      <w:pPr>
        <w:pStyle w:val="ListParagraph"/>
        <w:numPr>
          <w:ilvl w:val="0"/>
          <w:numId w:val="7"/>
        </w:numPr>
        <w:spacing w:before="240" w:line="360" w:lineRule="auto"/>
        <w:rPr>
          <w:u w:val="single"/>
        </w:rPr>
      </w:pPr>
      <w:r w:rsidRPr="00745661">
        <w:rPr>
          <w:u w:val="single"/>
        </w:rPr>
        <w:t xml:space="preserve">proportionate to the offence, </w:t>
      </w:r>
    </w:p>
    <w:p w14:paraId="3CEF6594" w14:textId="77777777" w:rsidR="00381F50" w:rsidRPr="00745661" w:rsidRDefault="00381F50" w:rsidP="00381F50">
      <w:pPr>
        <w:pStyle w:val="ListParagraph"/>
        <w:numPr>
          <w:ilvl w:val="0"/>
          <w:numId w:val="7"/>
        </w:numPr>
        <w:spacing w:before="240" w:line="360" w:lineRule="auto"/>
        <w:rPr>
          <w:u w:val="single"/>
        </w:rPr>
      </w:pPr>
      <w:r w:rsidRPr="00745661">
        <w:rPr>
          <w:u w:val="single"/>
        </w:rPr>
        <w:t xml:space="preserve">used consistently, and </w:t>
      </w:r>
    </w:p>
    <w:p w14:paraId="4718B502" w14:textId="77777777" w:rsidR="00381F50" w:rsidRPr="00745661" w:rsidRDefault="00381F50" w:rsidP="00381F50">
      <w:pPr>
        <w:pStyle w:val="ListParagraph"/>
        <w:numPr>
          <w:ilvl w:val="0"/>
          <w:numId w:val="7"/>
        </w:numPr>
        <w:spacing w:before="240" w:line="360" w:lineRule="auto"/>
        <w:rPr>
          <w:u w:val="single"/>
        </w:rPr>
      </w:pPr>
      <w:r w:rsidRPr="00745661">
        <w:rPr>
          <w:u w:val="single"/>
        </w:rPr>
        <w:t>effective in deterring non-compliance and returning the non-compliant to compliance.</w:t>
      </w:r>
    </w:p>
    <w:p w14:paraId="19E4EA31" w14:textId="77777777" w:rsidR="00381F50" w:rsidRDefault="00381F50">
      <w:r>
        <w:br w:type="page"/>
      </w:r>
    </w:p>
    <w:p w14:paraId="7DF912D1" w14:textId="77777777" w:rsidR="00723684" w:rsidRPr="003830BC" w:rsidRDefault="00745661" w:rsidP="003830BC">
      <w:pPr>
        <w:pStyle w:val="Heading1"/>
        <w:spacing w:after="240"/>
        <w:rPr>
          <w:b/>
          <w:color w:val="auto"/>
          <w:u w:val="single"/>
        </w:rPr>
      </w:pPr>
      <w:bookmarkStart w:id="4" w:name="_Toc21977350"/>
      <w:r>
        <w:rPr>
          <w:b/>
          <w:color w:val="auto"/>
          <w:u w:val="single"/>
        </w:rPr>
        <w:lastRenderedPageBreak/>
        <w:t>Annex B</w:t>
      </w:r>
      <w:r w:rsidR="000C4AB2">
        <w:rPr>
          <w:b/>
          <w:color w:val="auto"/>
          <w:u w:val="single"/>
        </w:rPr>
        <w:t>: e</w:t>
      </w:r>
      <w:r w:rsidR="003830BC" w:rsidRPr="003830BC">
        <w:rPr>
          <w:b/>
          <w:color w:val="auto"/>
          <w:u w:val="single"/>
        </w:rPr>
        <w:t>xample case studies</w:t>
      </w:r>
      <w:bookmarkEnd w:id="4"/>
      <w:r w:rsidR="003830BC" w:rsidRPr="003830BC">
        <w:rPr>
          <w:b/>
          <w:color w:val="auto"/>
          <w:u w:val="single"/>
        </w:rPr>
        <w:t xml:space="preserve"> </w:t>
      </w:r>
    </w:p>
    <w:p w14:paraId="5753E4E5" w14:textId="34535055" w:rsidR="003830BC" w:rsidRDefault="003830BC" w:rsidP="003830BC">
      <w:pPr>
        <w:spacing w:before="240" w:line="360" w:lineRule="auto"/>
        <w:rPr>
          <w:bCs/>
          <w:i/>
        </w:rPr>
      </w:pPr>
      <w:r>
        <w:rPr>
          <w:bCs/>
          <w:i/>
        </w:rPr>
        <w:t xml:space="preserve">These case studies are intended to illustrate how HMRC adapted its approach to reflect the customers’ behaviour. We are keen to see similar (ideally more detailed) case studies – drawing on real life examples – to illustrate how HMRC’s existing approach took into account a customer’s circumstances, reflected the behaviour and/or demonstrates </w:t>
      </w:r>
      <w:r w:rsidR="00CD14C8">
        <w:rPr>
          <w:bCs/>
          <w:i/>
        </w:rPr>
        <w:t>s</w:t>
      </w:r>
      <w:r>
        <w:rPr>
          <w:bCs/>
          <w:i/>
        </w:rPr>
        <w:t xml:space="preserve">cope for improvement. </w:t>
      </w:r>
    </w:p>
    <w:p w14:paraId="48810087" w14:textId="77777777" w:rsidR="003830BC" w:rsidRPr="003830BC" w:rsidRDefault="003830BC" w:rsidP="003830BC">
      <w:pPr>
        <w:spacing w:before="240" w:line="360" w:lineRule="auto"/>
        <w:jc w:val="right"/>
        <w:rPr>
          <w:bCs/>
          <w:i/>
        </w:rPr>
      </w:pPr>
      <w:r>
        <w:rPr>
          <w:bCs/>
          <w:i/>
        </w:rPr>
        <w:t xml:space="preserve">Source: No Safe Havens 2019 (available </w:t>
      </w:r>
      <w:hyperlink r:id="rId11" w:history="1">
        <w:r w:rsidRPr="003830BC">
          <w:rPr>
            <w:rStyle w:val="Hyperlink"/>
            <w:bCs/>
            <w:i/>
          </w:rPr>
          <w:t>here</w:t>
        </w:r>
      </w:hyperlink>
      <w:r>
        <w:rPr>
          <w:bCs/>
          <w:i/>
        </w:rPr>
        <w:t>)</w:t>
      </w:r>
    </w:p>
    <w:p w14:paraId="17FE24FF" w14:textId="37D46070" w:rsidR="003830BC" w:rsidRPr="003830BC" w:rsidRDefault="003830BC" w:rsidP="003830BC">
      <w:pPr>
        <w:spacing w:before="240" w:line="360" w:lineRule="auto"/>
        <w:rPr>
          <w:b/>
          <w:bCs/>
        </w:rPr>
      </w:pPr>
      <w:r w:rsidRPr="003830BC">
        <w:rPr>
          <w:b/>
          <w:bCs/>
        </w:rPr>
        <w:t xml:space="preserve">Case study: HMRC recognises those who choose to voluntarily correct their affair </w:t>
      </w:r>
    </w:p>
    <w:p w14:paraId="0BDDF7F9" w14:textId="3A52E9FC" w:rsidR="003830BC" w:rsidRPr="003830BC" w:rsidRDefault="003830BC" w:rsidP="003830BC">
      <w:pPr>
        <w:spacing w:before="240" w:line="360" w:lineRule="auto"/>
        <w:rPr>
          <w:bCs/>
        </w:rPr>
      </w:pPr>
      <w:r w:rsidRPr="003830BC">
        <w:rPr>
          <w:bCs/>
        </w:rPr>
        <w:t xml:space="preserve">Mrs P and her late husband had been using a complex structure to deliberately hide money overseas for many years. However, Mrs P recognised it was only a matter of time before HMRC detected her evasion. Mrs P came forward to declare her evasion in 2016. HMRC recognised Mrs P had come forward entirely voluntarily to put it right, and accordingly reduced the penalty from potentially around 100% to 30% of the tax owed. Mrs P also paid substantial interest, as she had been evading tax for many years. In total, the tax, interest and penalty amounted to £1.2 million — nearly double the tax due had Mrs P paid the correct tax in the first place. HMRC always recognises voluntary disclosure and will reduce the penalty accordingly. </w:t>
      </w:r>
    </w:p>
    <w:p w14:paraId="5D7EBACF" w14:textId="4CFDF75A" w:rsidR="003830BC" w:rsidRPr="003830BC" w:rsidRDefault="003830BC" w:rsidP="003830BC">
      <w:pPr>
        <w:spacing w:before="240" w:line="360" w:lineRule="auto"/>
        <w:rPr>
          <w:b/>
          <w:bCs/>
        </w:rPr>
      </w:pPr>
      <w:r w:rsidRPr="003830BC">
        <w:rPr>
          <w:b/>
          <w:bCs/>
        </w:rPr>
        <w:t xml:space="preserve">Case study: HMRC responds robustly those that don’t co-operate </w:t>
      </w:r>
    </w:p>
    <w:p w14:paraId="61D18F9B" w14:textId="3279EF38" w:rsidR="003830BC" w:rsidRPr="003830BC" w:rsidRDefault="003830BC" w:rsidP="003830BC">
      <w:pPr>
        <w:spacing w:before="240" w:line="360" w:lineRule="auto"/>
        <w:rPr>
          <w:bCs/>
        </w:rPr>
      </w:pPr>
      <w:r w:rsidRPr="003830BC">
        <w:rPr>
          <w:bCs/>
        </w:rPr>
        <w:t xml:space="preserve">Mr W owned a small business selling kitchens in the UK. He diverted some of his business’s income to his personal bank account in Spain in an attempt to hide it from HMRC and evade over £277,000 in UK tax. In line with HMRC’s criminal investigation policy, we initially opened a civil enquiry after our analysis indicated potential discrepancies. However, Mr W still chose not to come forward to declare and pay the tax he owed. Mr W was given the opportunity to disclose the irregularities and reduce potential penalties, as well as the risk of prosecution, on a number of occasions during HMRC’s investigation, but refused to cooperate. As a result, HMRC escalated the enquiry by launching a criminal investigation. Mr W was prosecuted for tax fraud. He now faces a 21 month prison sentence — suspended for two years — and if he fails to pay the tax and penalties he owes within three months of his conviction, he will go to prison for five years. </w:t>
      </w:r>
    </w:p>
    <w:sectPr w:rsidR="003830BC" w:rsidRPr="003830B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4A54" w14:textId="77777777" w:rsidR="00D77FFB" w:rsidRDefault="00D77FFB">
      <w:pPr>
        <w:spacing w:after="0" w:line="240" w:lineRule="auto"/>
      </w:pPr>
      <w:r>
        <w:separator/>
      </w:r>
    </w:p>
  </w:endnote>
  <w:endnote w:type="continuationSeparator" w:id="0">
    <w:p w14:paraId="612940AF" w14:textId="77777777" w:rsidR="00D77FFB" w:rsidRDefault="00D7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6957"/>
      <w:docPartObj>
        <w:docPartGallery w:val="Page Numbers (Bottom of Page)"/>
        <w:docPartUnique/>
      </w:docPartObj>
    </w:sdtPr>
    <w:sdtEndPr>
      <w:rPr>
        <w:noProof/>
      </w:rPr>
    </w:sdtEndPr>
    <w:sdtContent>
      <w:p w14:paraId="3C5AB5E6" w14:textId="77777777" w:rsidR="00723684" w:rsidRDefault="00A05B8F">
        <w:pPr>
          <w:pStyle w:val="Footer"/>
          <w:jc w:val="center"/>
        </w:pPr>
        <w:r>
          <w:fldChar w:fldCharType="begin"/>
        </w:r>
        <w:r>
          <w:instrText xml:space="preserve"> PAGE   \* MERGEFORMAT </w:instrText>
        </w:r>
        <w:r>
          <w:fldChar w:fldCharType="separate"/>
        </w:r>
        <w:r w:rsidR="00BA3AB0">
          <w:rPr>
            <w:noProof/>
          </w:rPr>
          <w:t>3</w:t>
        </w:r>
        <w:r>
          <w:rPr>
            <w:noProof/>
          </w:rPr>
          <w:fldChar w:fldCharType="end"/>
        </w:r>
      </w:p>
    </w:sdtContent>
  </w:sdt>
  <w:p w14:paraId="7F011503" w14:textId="77777777" w:rsidR="00723684" w:rsidRDefault="0072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E7FC8" w14:textId="77777777" w:rsidR="00D77FFB" w:rsidRDefault="00D77FFB">
      <w:pPr>
        <w:spacing w:after="0" w:line="240" w:lineRule="auto"/>
      </w:pPr>
      <w:r>
        <w:separator/>
      </w:r>
    </w:p>
  </w:footnote>
  <w:footnote w:type="continuationSeparator" w:id="0">
    <w:p w14:paraId="5AED50DE" w14:textId="77777777" w:rsidR="00D77FFB" w:rsidRDefault="00D7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E997" w14:textId="015E6DF4" w:rsidR="00723684" w:rsidRPr="00265DA0" w:rsidRDefault="000350E7" w:rsidP="00723684">
    <w:pPr>
      <w:pStyle w:val="Header"/>
      <w:jc w:val="center"/>
      <w:rPr>
        <w:b/>
      </w:rPr>
    </w:pPr>
    <w:r>
      <w:rPr>
        <w:b/>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39C"/>
    <w:multiLevelType w:val="hybridMultilevel"/>
    <w:tmpl w:val="AF26DC6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87E78"/>
    <w:multiLevelType w:val="hybridMultilevel"/>
    <w:tmpl w:val="492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A47D2"/>
    <w:multiLevelType w:val="hybridMultilevel"/>
    <w:tmpl w:val="E82C5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0717D"/>
    <w:multiLevelType w:val="hybridMultilevel"/>
    <w:tmpl w:val="163A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E3FD8"/>
    <w:multiLevelType w:val="hybridMultilevel"/>
    <w:tmpl w:val="105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83E0A"/>
    <w:multiLevelType w:val="hybridMultilevel"/>
    <w:tmpl w:val="8A4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836C3"/>
    <w:multiLevelType w:val="hybridMultilevel"/>
    <w:tmpl w:val="4326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63504"/>
    <w:multiLevelType w:val="multilevel"/>
    <w:tmpl w:val="3DB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847CD"/>
    <w:multiLevelType w:val="hybridMultilevel"/>
    <w:tmpl w:val="A9B86F3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4E026A"/>
    <w:multiLevelType w:val="hybridMultilevel"/>
    <w:tmpl w:val="40241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536FE"/>
    <w:multiLevelType w:val="hybridMultilevel"/>
    <w:tmpl w:val="1DB283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827658"/>
    <w:multiLevelType w:val="hybridMultilevel"/>
    <w:tmpl w:val="DEA4D97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44B81CBF"/>
    <w:multiLevelType w:val="hybridMultilevel"/>
    <w:tmpl w:val="144863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7">
      <w:start w:val="1"/>
      <w:numFmt w:val="lowerLetter"/>
      <w:lvlText w:val="%3)"/>
      <w:lvlJc w:val="left"/>
      <w:pPr>
        <w:ind w:left="1800" w:hanging="360"/>
      </w:pPr>
      <w:rPr>
        <w:rFonts w:hint="default"/>
      </w:rPr>
    </w:lvl>
    <w:lvl w:ilvl="3" w:tplc="08090017">
      <w:start w:val="1"/>
      <w:numFmt w:val="lowerLetter"/>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A33B23"/>
    <w:multiLevelType w:val="multilevel"/>
    <w:tmpl w:val="DDA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EE71DA"/>
    <w:multiLevelType w:val="hybridMultilevel"/>
    <w:tmpl w:val="02DAB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290C13"/>
    <w:multiLevelType w:val="hybridMultilevel"/>
    <w:tmpl w:val="F34E85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934AA0"/>
    <w:multiLevelType w:val="hybridMultilevel"/>
    <w:tmpl w:val="50508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41905"/>
    <w:multiLevelType w:val="hybridMultilevel"/>
    <w:tmpl w:val="154C5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52C1D"/>
    <w:multiLevelType w:val="hybridMultilevel"/>
    <w:tmpl w:val="018C9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9D3EE3"/>
    <w:multiLevelType w:val="hybridMultilevel"/>
    <w:tmpl w:val="48CE6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870E9F"/>
    <w:multiLevelType w:val="hybridMultilevel"/>
    <w:tmpl w:val="3AB249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7C376C"/>
    <w:multiLevelType w:val="multilevel"/>
    <w:tmpl w:val="E438B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11"/>
  </w:num>
  <w:num w:numId="3">
    <w:abstractNumId w:val="16"/>
  </w:num>
  <w:num w:numId="4">
    <w:abstractNumId w:val="2"/>
  </w:num>
  <w:num w:numId="5">
    <w:abstractNumId w:val="3"/>
  </w:num>
  <w:num w:numId="6">
    <w:abstractNumId w:val="8"/>
  </w:num>
  <w:num w:numId="7">
    <w:abstractNumId w:val="1"/>
  </w:num>
  <w:num w:numId="8">
    <w:abstractNumId w:val="4"/>
  </w:num>
  <w:num w:numId="9">
    <w:abstractNumId w:val="5"/>
  </w:num>
  <w:num w:numId="10">
    <w:abstractNumId w:val="10"/>
  </w:num>
  <w:num w:numId="11">
    <w:abstractNumId w:val="6"/>
  </w:num>
  <w:num w:numId="12">
    <w:abstractNumId w:val="7"/>
  </w:num>
  <w:num w:numId="13">
    <w:abstractNumId w:val="13"/>
  </w:num>
  <w:num w:numId="14">
    <w:abstractNumId w:val="21"/>
  </w:num>
  <w:num w:numId="15">
    <w:abstractNumId w:val="9"/>
  </w:num>
  <w:num w:numId="16">
    <w:abstractNumId w:val="14"/>
  </w:num>
  <w:num w:numId="17">
    <w:abstractNumId w:val="15"/>
  </w:num>
  <w:num w:numId="18">
    <w:abstractNumId w:val="17"/>
  </w:num>
  <w:num w:numId="19">
    <w:abstractNumId w:val="0"/>
  </w:num>
  <w:num w:numId="20">
    <w:abstractNumId w:val="20"/>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8F"/>
    <w:rsid w:val="000350E7"/>
    <w:rsid w:val="00040ADD"/>
    <w:rsid w:val="00057E64"/>
    <w:rsid w:val="00067783"/>
    <w:rsid w:val="00083964"/>
    <w:rsid w:val="000C4AB2"/>
    <w:rsid w:val="000C59D4"/>
    <w:rsid w:val="000D4443"/>
    <w:rsid w:val="00131532"/>
    <w:rsid w:val="001505F0"/>
    <w:rsid w:val="00152334"/>
    <w:rsid w:val="0016619F"/>
    <w:rsid w:val="001738CB"/>
    <w:rsid w:val="00192C3D"/>
    <w:rsid w:val="001936EF"/>
    <w:rsid w:val="001D1792"/>
    <w:rsid w:val="001D2B29"/>
    <w:rsid w:val="001F10C9"/>
    <w:rsid w:val="00202102"/>
    <w:rsid w:val="00211B0A"/>
    <w:rsid w:val="00224FB8"/>
    <w:rsid w:val="00256333"/>
    <w:rsid w:val="00286D02"/>
    <w:rsid w:val="002C0D09"/>
    <w:rsid w:val="00300E74"/>
    <w:rsid w:val="00317751"/>
    <w:rsid w:val="00317881"/>
    <w:rsid w:val="00324DE5"/>
    <w:rsid w:val="00347BD5"/>
    <w:rsid w:val="003542E2"/>
    <w:rsid w:val="00365BF9"/>
    <w:rsid w:val="003744FA"/>
    <w:rsid w:val="00381F50"/>
    <w:rsid w:val="00383023"/>
    <w:rsid w:val="003830BC"/>
    <w:rsid w:val="00387B04"/>
    <w:rsid w:val="003931F8"/>
    <w:rsid w:val="003B0EA6"/>
    <w:rsid w:val="003B5378"/>
    <w:rsid w:val="003D6EA6"/>
    <w:rsid w:val="004255CF"/>
    <w:rsid w:val="004439AF"/>
    <w:rsid w:val="00445433"/>
    <w:rsid w:val="0048376A"/>
    <w:rsid w:val="004857FA"/>
    <w:rsid w:val="004A3612"/>
    <w:rsid w:val="004C1AE1"/>
    <w:rsid w:val="004C7519"/>
    <w:rsid w:val="004D231F"/>
    <w:rsid w:val="004D629A"/>
    <w:rsid w:val="005050E3"/>
    <w:rsid w:val="0052030A"/>
    <w:rsid w:val="005234CF"/>
    <w:rsid w:val="005313F3"/>
    <w:rsid w:val="005317A0"/>
    <w:rsid w:val="00563B79"/>
    <w:rsid w:val="005A24E4"/>
    <w:rsid w:val="005B77A5"/>
    <w:rsid w:val="005D4D2D"/>
    <w:rsid w:val="005E0DF8"/>
    <w:rsid w:val="00606C8C"/>
    <w:rsid w:val="00686B86"/>
    <w:rsid w:val="00686C2E"/>
    <w:rsid w:val="006B5504"/>
    <w:rsid w:val="006C3108"/>
    <w:rsid w:val="006D743B"/>
    <w:rsid w:val="00711A5B"/>
    <w:rsid w:val="00723684"/>
    <w:rsid w:val="00725A09"/>
    <w:rsid w:val="00745661"/>
    <w:rsid w:val="00786842"/>
    <w:rsid w:val="007920D6"/>
    <w:rsid w:val="007C3FC0"/>
    <w:rsid w:val="007C5643"/>
    <w:rsid w:val="00804EB5"/>
    <w:rsid w:val="008112F3"/>
    <w:rsid w:val="008140FF"/>
    <w:rsid w:val="00822EE2"/>
    <w:rsid w:val="00892229"/>
    <w:rsid w:val="008B70C6"/>
    <w:rsid w:val="008D5FB0"/>
    <w:rsid w:val="008D6B54"/>
    <w:rsid w:val="00926311"/>
    <w:rsid w:val="009268B8"/>
    <w:rsid w:val="00940FF9"/>
    <w:rsid w:val="00943DF7"/>
    <w:rsid w:val="00990E52"/>
    <w:rsid w:val="00994C24"/>
    <w:rsid w:val="00A05B8F"/>
    <w:rsid w:val="00A11366"/>
    <w:rsid w:val="00A12164"/>
    <w:rsid w:val="00A13BD0"/>
    <w:rsid w:val="00A33CF2"/>
    <w:rsid w:val="00A550CD"/>
    <w:rsid w:val="00A8155B"/>
    <w:rsid w:val="00AA26E7"/>
    <w:rsid w:val="00AB51DA"/>
    <w:rsid w:val="00AC558E"/>
    <w:rsid w:val="00AE5639"/>
    <w:rsid w:val="00AF1756"/>
    <w:rsid w:val="00B00076"/>
    <w:rsid w:val="00B03A60"/>
    <w:rsid w:val="00B560B9"/>
    <w:rsid w:val="00B61F50"/>
    <w:rsid w:val="00B67F91"/>
    <w:rsid w:val="00BA3AB0"/>
    <w:rsid w:val="00BD7E90"/>
    <w:rsid w:val="00C15C3A"/>
    <w:rsid w:val="00C63343"/>
    <w:rsid w:val="00C64C1F"/>
    <w:rsid w:val="00C87F12"/>
    <w:rsid w:val="00CA610F"/>
    <w:rsid w:val="00CC5A53"/>
    <w:rsid w:val="00CD14C8"/>
    <w:rsid w:val="00CD39FB"/>
    <w:rsid w:val="00CD5730"/>
    <w:rsid w:val="00D053B7"/>
    <w:rsid w:val="00D23617"/>
    <w:rsid w:val="00D532E2"/>
    <w:rsid w:val="00D62574"/>
    <w:rsid w:val="00D65040"/>
    <w:rsid w:val="00D77FFB"/>
    <w:rsid w:val="00D97534"/>
    <w:rsid w:val="00DB517E"/>
    <w:rsid w:val="00E22053"/>
    <w:rsid w:val="00E309E2"/>
    <w:rsid w:val="00EB7BA8"/>
    <w:rsid w:val="00F04D9F"/>
    <w:rsid w:val="00F5314E"/>
    <w:rsid w:val="00FB7D9B"/>
    <w:rsid w:val="00FC4F98"/>
    <w:rsid w:val="00FF2FC8"/>
    <w:rsid w:val="0270F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9E70"/>
  <w15:chartTrackingRefBased/>
  <w15:docId w15:val="{3BE91B43-29EA-41CE-A69C-ABD2217A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B8F"/>
  </w:style>
  <w:style w:type="paragraph" w:styleId="Heading1">
    <w:name w:val="heading 1"/>
    <w:basedOn w:val="Normal"/>
    <w:next w:val="Normal"/>
    <w:link w:val="Heading1Char"/>
    <w:uiPriority w:val="9"/>
    <w:qFormat/>
    <w:rsid w:val="005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B8F"/>
    <w:rPr>
      <w:color w:val="808080"/>
    </w:rPr>
  </w:style>
  <w:style w:type="paragraph" w:styleId="Header">
    <w:name w:val="header"/>
    <w:basedOn w:val="Normal"/>
    <w:link w:val="HeaderChar"/>
    <w:uiPriority w:val="99"/>
    <w:unhideWhenUsed/>
    <w:rsid w:val="00A0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8F"/>
  </w:style>
  <w:style w:type="paragraph" w:styleId="Footer">
    <w:name w:val="footer"/>
    <w:basedOn w:val="Normal"/>
    <w:link w:val="FooterChar"/>
    <w:uiPriority w:val="99"/>
    <w:unhideWhenUsed/>
    <w:rsid w:val="00A0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8F"/>
  </w:style>
  <w:style w:type="paragraph" w:styleId="ListParagraph">
    <w:name w:val="List Paragraph"/>
    <w:basedOn w:val="Normal"/>
    <w:uiPriority w:val="34"/>
    <w:qFormat/>
    <w:rsid w:val="00563B79"/>
    <w:pPr>
      <w:ind w:left="720"/>
      <w:contextualSpacing/>
    </w:pPr>
  </w:style>
  <w:style w:type="character" w:customStyle="1" w:styleId="Heading1Char">
    <w:name w:val="Heading 1 Char"/>
    <w:basedOn w:val="DefaultParagraphFont"/>
    <w:link w:val="Heading1"/>
    <w:uiPriority w:val="9"/>
    <w:rsid w:val="00563B7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11366"/>
    <w:pPr>
      <w:outlineLvl w:val="9"/>
    </w:pPr>
    <w:rPr>
      <w:lang w:val="en-US"/>
    </w:rPr>
  </w:style>
  <w:style w:type="paragraph" w:styleId="TOC1">
    <w:name w:val="toc 1"/>
    <w:basedOn w:val="Normal"/>
    <w:next w:val="Normal"/>
    <w:autoRedefine/>
    <w:uiPriority w:val="39"/>
    <w:unhideWhenUsed/>
    <w:rsid w:val="00A11366"/>
    <w:pPr>
      <w:spacing w:after="100"/>
    </w:pPr>
  </w:style>
  <w:style w:type="character" w:styleId="Hyperlink">
    <w:name w:val="Hyperlink"/>
    <w:basedOn w:val="DefaultParagraphFont"/>
    <w:uiPriority w:val="99"/>
    <w:unhideWhenUsed/>
    <w:rsid w:val="00A11366"/>
    <w:rPr>
      <w:color w:val="0563C1" w:themeColor="hyperlink"/>
      <w:u w:val="single"/>
    </w:rPr>
  </w:style>
  <w:style w:type="character" w:styleId="CommentReference">
    <w:name w:val="annotation reference"/>
    <w:basedOn w:val="DefaultParagraphFont"/>
    <w:uiPriority w:val="99"/>
    <w:semiHidden/>
    <w:unhideWhenUsed/>
    <w:rsid w:val="00C87F12"/>
    <w:rPr>
      <w:sz w:val="16"/>
      <w:szCs w:val="16"/>
    </w:rPr>
  </w:style>
  <w:style w:type="paragraph" w:styleId="CommentText">
    <w:name w:val="annotation text"/>
    <w:basedOn w:val="Normal"/>
    <w:link w:val="CommentTextChar"/>
    <w:uiPriority w:val="99"/>
    <w:semiHidden/>
    <w:unhideWhenUsed/>
    <w:rsid w:val="00C87F12"/>
    <w:pPr>
      <w:spacing w:line="240" w:lineRule="auto"/>
    </w:pPr>
    <w:rPr>
      <w:sz w:val="20"/>
      <w:szCs w:val="20"/>
    </w:rPr>
  </w:style>
  <w:style w:type="character" w:customStyle="1" w:styleId="CommentTextChar">
    <w:name w:val="Comment Text Char"/>
    <w:basedOn w:val="DefaultParagraphFont"/>
    <w:link w:val="CommentText"/>
    <w:uiPriority w:val="99"/>
    <w:semiHidden/>
    <w:rsid w:val="00C87F12"/>
    <w:rPr>
      <w:sz w:val="20"/>
      <w:szCs w:val="20"/>
    </w:rPr>
  </w:style>
  <w:style w:type="paragraph" w:styleId="CommentSubject">
    <w:name w:val="annotation subject"/>
    <w:basedOn w:val="CommentText"/>
    <w:next w:val="CommentText"/>
    <w:link w:val="CommentSubjectChar"/>
    <w:uiPriority w:val="99"/>
    <w:semiHidden/>
    <w:unhideWhenUsed/>
    <w:rsid w:val="00C87F12"/>
    <w:rPr>
      <w:b/>
      <w:bCs/>
    </w:rPr>
  </w:style>
  <w:style w:type="character" w:customStyle="1" w:styleId="CommentSubjectChar">
    <w:name w:val="Comment Subject Char"/>
    <w:basedOn w:val="CommentTextChar"/>
    <w:link w:val="CommentSubject"/>
    <w:uiPriority w:val="99"/>
    <w:semiHidden/>
    <w:rsid w:val="00C87F12"/>
    <w:rPr>
      <w:b/>
      <w:bCs/>
      <w:sz w:val="20"/>
      <w:szCs w:val="20"/>
    </w:rPr>
  </w:style>
  <w:style w:type="paragraph" w:styleId="BalloonText">
    <w:name w:val="Balloon Text"/>
    <w:basedOn w:val="Normal"/>
    <w:link w:val="BalloonTextChar"/>
    <w:uiPriority w:val="99"/>
    <w:semiHidden/>
    <w:unhideWhenUsed/>
    <w:rsid w:val="00C87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12"/>
    <w:rPr>
      <w:rFonts w:ascii="Segoe UI" w:hAnsi="Segoe UI" w:cs="Segoe UI"/>
      <w:sz w:val="18"/>
      <w:szCs w:val="18"/>
    </w:rPr>
  </w:style>
  <w:style w:type="paragraph" w:customStyle="1" w:styleId="paragraph">
    <w:name w:val="paragraph"/>
    <w:basedOn w:val="Normal"/>
    <w:rsid w:val="00387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7B04"/>
  </w:style>
  <w:style w:type="character" w:customStyle="1" w:styleId="advancedproofingissue">
    <w:name w:val="advancedproofingissue"/>
    <w:basedOn w:val="DefaultParagraphFont"/>
    <w:rsid w:val="00387B04"/>
  </w:style>
  <w:style w:type="character" w:customStyle="1" w:styleId="eop">
    <w:name w:val="eop"/>
    <w:basedOn w:val="DefaultParagraphFont"/>
    <w:rsid w:val="0038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24131">
      <w:bodyDiv w:val="1"/>
      <w:marLeft w:val="0"/>
      <w:marRight w:val="0"/>
      <w:marTop w:val="0"/>
      <w:marBottom w:val="0"/>
      <w:divBdr>
        <w:top w:val="none" w:sz="0" w:space="0" w:color="auto"/>
        <w:left w:val="none" w:sz="0" w:space="0" w:color="auto"/>
        <w:bottom w:val="none" w:sz="0" w:space="0" w:color="auto"/>
        <w:right w:val="none" w:sz="0" w:space="0" w:color="auto"/>
      </w:divBdr>
    </w:div>
    <w:div w:id="957642220">
      <w:bodyDiv w:val="1"/>
      <w:marLeft w:val="0"/>
      <w:marRight w:val="0"/>
      <w:marTop w:val="0"/>
      <w:marBottom w:val="0"/>
      <w:divBdr>
        <w:top w:val="none" w:sz="0" w:space="0" w:color="auto"/>
        <w:left w:val="none" w:sz="0" w:space="0" w:color="auto"/>
        <w:bottom w:val="none" w:sz="0" w:space="0" w:color="auto"/>
        <w:right w:val="none" w:sz="0" w:space="0" w:color="auto"/>
      </w:divBdr>
      <w:divsChild>
        <w:div w:id="242564664">
          <w:marLeft w:val="0"/>
          <w:marRight w:val="0"/>
          <w:marTop w:val="0"/>
          <w:marBottom w:val="0"/>
          <w:divBdr>
            <w:top w:val="none" w:sz="0" w:space="0" w:color="auto"/>
            <w:left w:val="none" w:sz="0" w:space="0" w:color="auto"/>
            <w:bottom w:val="none" w:sz="0" w:space="0" w:color="auto"/>
            <w:right w:val="none" w:sz="0" w:space="0" w:color="auto"/>
          </w:divBdr>
        </w:div>
        <w:div w:id="941910522">
          <w:marLeft w:val="0"/>
          <w:marRight w:val="0"/>
          <w:marTop w:val="0"/>
          <w:marBottom w:val="0"/>
          <w:divBdr>
            <w:top w:val="none" w:sz="0" w:space="0" w:color="auto"/>
            <w:left w:val="none" w:sz="0" w:space="0" w:color="auto"/>
            <w:bottom w:val="none" w:sz="0" w:space="0" w:color="auto"/>
            <w:right w:val="none" w:sz="0" w:space="0" w:color="auto"/>
          </w:divBdr>
        </w:div>
        <w:div w:id="1652438852">
          <w:marLeft w:val="0"/>
          <w:marRight w:val="0"/>
          <w:marTop w:val="0"/>
          <w:marBottom w:val="0"/>
          <w:divBdr>
            <w:top w:val="none" w:sz="0" w:space="0" w:color="auto"/>
            <w:left w:val="none" w:sz="0" w:space="0" w:color="auto"/>
            <w:bottom w:val="none" w:sz="0" w:space="0" w:color="auto"/>
            <w:right w:val="none" w:sz="0" w:space="0" w:color="auto"/>
          </w:divBdr>
        </w:div>
        <w:div w:id="186675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02253/No_safe_havens_report_2019.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2" ma:contentTypeDescription="Create a new document." ma:contentTypeScope="" ma:versionID="3e5562a74c7c454b0b0755efd0c6613e">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88093186634589e6b09db0f05ac17fb8"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D5C9-F41B-4B23-B84B-0B0BE38FE5EE}">
  <ds:schemaRefs>
    <ds:schemaRef ds:uri="http://schemas.microsoft.com/sharepoint/v3/contenttype/forms"/>
  </ds:schemaRefs>
</ds:datastoreItem>
</file>

<file path=customXml/itemProps2.xml><?xml version="1.0" encoding="utf-8"?>
<ds:datastoreItem xmlns:ds="http://schemas.openxmlformats.org/officeDocument/2006/customXml" ds:itemID="{4E60F045-F8A1-46F2-AC5C-EC01DF0F23DC}"/>
</file>

<file path=customXml/itemProps3.xml><?xml version="1.0" encoding="utf-8"?>
<ds:datastoreItem xmlns:ds="http://schemas.openxmlformats.org/officeDocument/2006/customXml" ds:itemID="{F9FAD7E9-6761-4366-B22E-F75C3D8A0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452F0-0C5D-4391-9465-3DD6F4EB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Dipti (CS&amp;TD TAD)</dc:creator>
  <cp:keywords/>
  <dc:description/>
  <cp:lastModifiedBy>Howarth, Laura (CS&amp;TD TAD)</cp:lastModifiedBy>
  <cp:revision>2</cp:revision>
  <dcterms:created xsi:type="dcterms:W3CDTF">2020-01-31T11:57:00Z</dcterms:created>
  <dcterms:modified xsi:type="dcterms:W3CDTF">2020-01-31T11:57:00Z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