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2BE6" w14:textId="41F3CEFA" w:rsidR="005211FE" w:rsidRPr="00333E6E" w:rsidRDefault="005211FE">
      <w:pPr>
        <w:rPr>
          <w:rFonts w:ascii="Arial" w:hAnsi="Arial" w:cs="Arial"/>
          <w:b/>
          <w:bCs/>
          <w:sz w:val="20"/>
          <w:szCs w:val="20"/>
        </w:rPr>
      </w:pPr>
    </w:p>
    <w:p w14:paraId="391751C7" w14:textId="77777777" w:rsidR="00F22C11" w:rsidRPr="00333E6E" w:rsidRDefault="00F22C11">
      <w:pPr>
        <w:rPr>
          <w:rFonts w:ascii="Arial" w:hAnsi="Arial" w:cs="Arial"/>
          <w:b/>
          <w:bCs/>
          <w:sz w:val="20"/>
          <w:szCs w:val="20"/>
        </w:rPr>
      </w:pPr>
    </w:p>
    <w:p w14:paraId="54B87E74" w14:textId="6A5C21B0" w:rsidR="005211FE" w:rsidRPr="00333E6E" w:rsidRDefault="005211FE">
      <w:pPr>
        <w:rPr>
          <w:rFonts w:ascii="Arial" w:hAnsi="Arial" w:cs="Arial"/>
          <w:b/>
          <w:bCs/>
          <w:sz w:val="20"/>
          <w:szCs w:val="20"/>
        </w:rPr>
      </w:pPr>
      <w:r w:rsidRPr="00333E6E">
        <w:rPr>
          <w:rFonts w:ascii="Arial" w:hAnsi="Arial" w:cs="Arial"/>
          <w:b/>
          <w:bCs/>
          <w:sz w:val="20"/>
          <w:szCs w:val="20"/>
        </w:rPr>
        <w:t>Question 1</w:t>
      </w:r>
    </w:p>
    <w:p w14:paraId="6E51C51A" w14:textId="6CB8A6B4" w:rsidR="00333E6E" w:rsidRPr="00333E6E" w:rsidRDefault="00333E6E" w:rsidP="00333E6E">
      <w:pPr>
        <w:rPr>
          <w:rFonts w:ascii="Arial" w:hAnsi="Arial" w:cs="Arial"/>
          <w:sz w:val="20"/>
          <w:szCs w:val="20"/>
        </w:rPr>
      </w:pPr>
      <w:r w:rsidRPr="00333E6E">
        <w:rPr>
          <w:rFonts w:ascii="Arial" w:hAnsi="Arial" w:cs="Arial"/>
          <w:sz w:val="20"/>
          <w:szCs w:val="20"/>
        </w:rPr>
        <w:t xml:space="preserve">Part 1 of this question was answered well with most candidates identifying the blocked input VAT and the </w:t>
      </w:r>
      <w:r w:rsidR="00E71B9C" w:rsidRPr="00333E6E">
        <w:rPr>
          <w:rFonts w:ascii="Arial" w:hAnsi="Arial" w:cs="Arial"/>
          <w:sz w:val="20"/>
          <w:szCs w:val="20"/>
        </w:rPr>
        <w:t>self-supply</w:t>
      </w:r>
      <w:r w:rsidRPr="00333E6E">
        <w:rPr>
          <w:rFonts w:ascii="Arial" w:hAnsi="Arial" w:cs="Arial"/>
          <w:sz w:val="20"/>
          <w:szCs w:val="20"/>
        </w:rPr>
        <w:t>. Part 2 was also answered well as most candidates are familiar with content on a VAT invoice although many failed to note that the supplier could issue a simplified invoice and invoices are only required for business customers or where requested. Candidates struggled to answer to part 3 which dealt with record retention in the scenario of changing accounting systems. The best candidates identified the 6-year retention requirement. Very few identified that there was no obligation to transfer over all historic records but only opening balances, and that the taxpayer would need to ensure that they could access the records for the retention period. Part 4 which addressed penalties and interest was answered well with most identifying this was probably a careless error. Some candidates missed the point on interest, and some used the old rates of BR+2.5% or gave an incorrect fixed value, presumably from an aged textbook. Similarly, some candidates referred to the now obsolete form 652 even though there were no marks for details of how the error would be reported.</w:t>
      </w:r>
    </w:p>
    <w:p w14:paraId="3A13CE4C" w14:textId="7153CFE0" w:rsidR="00AA2133" w:rsidRPr="00333E6E" w:rsidRDefault="00AA2133" w:rsidP="00AA2133">
      <w:pPr>
        <w:rPr>
          <w:rFonts w:ascii="Arial" w:hAnsi="Arial" w:cs="Arial"/>
          <w:b/>
          <w:bCs/>
          <w:sz w:val="20"/>
          <w:szCs w:val="20"/>
        </w:rPr>
      </w:pPr>
      <w:r w:rsidRPr="00333E6E">
        <w:rPr>
          <w:rFonts w:ascii="Arial" w:hAnsi="Arial" w:cs="Arial"/>
          <w:b/>
          <w:bCs/>
          <w:sz w:val="20"/>
          <w:szCs w:val="20"/>
        </w:rPr>
        <w:t>Question 2</w:t>
      </w:r>
    </w:p>
    <w:p w14:paraId="5ED140D0" w14:textId="77777777" w:rsidR="00333E6E" w:rsidRPr="00333E6E" w:rsidRDefault="00333E6E" w:rsidP="00333E6E">
      <w:pPr>
        <w:rPr>
          <w:rFonts w:ascii="Arial" w:hAnsi="Arial" w:cs="Arial"/>
          <w:sz w:val="20"/>
          <w:szCs w:val="20"/>
        </w:rPr>
      </w:pPr>
      <w:r w:rsidRPr="00333E6E">
        <w:rPr>
          <w:rFonts w:ascii="Arial" w:hAnsi="Arial" w:cs="Arial"/>
          <w:sz w:val="20"/>
          <w:szCs w:val="20"/>
        </w:rPr>
        <w:t>This question was answered well in most cases. Candidates understood the general rule for place of supply, although most missed the need to deal with each scenario separately ie sales of ESS to businesses and individuals are subject to separate rules. Most knew that the purchase of consultancy services is subject to the reverse charge, but again only a few candidates gained full marks by clearly stating that the place of supply was the UK and that the charging of overseas VAT did not impact on this outcome. Some confidently stated that no overseas VAT was due or went into the routes to recover this overseas VAT which used up valuable time without gaining any marks. Most candidates identified that the firm were likely to breach the ‘professional knowledge and skill’ principle. A few also identified ‘objectivity’. On the final section, most candidates identified that this was a TOGC and the requirements. A lot of candidates explicitly stated that the retention of some clients should not be an issue. Many candidates struggled with the transfer of the property, given we did not state if there was an OTT, candidates needed to deal with the scenario of an OTT being in place and not in order to get full marks.</w:t>
      </w:r>
    </w:p>
    <w:p w14:paraId="4D0E5A07" w14:textId="1A907162" w:rsidR="00AA2133" w:rsidRPr="00333E6E" w:rsidRDefault="00AA2133" w:rsidP="00AA2133">
      <w:pPr>
        <w:rPr>
          <w:rFonts w:ascii="Arial" w:hAnsi="Arial" w:cs="Arial"/>
          <w:b/>
          <w:bCs/>
          <w:sz w:val="20"/>
          <w:szCs w:val="20"/>
        </w:rPr>
      </w:pPr>
      <w:r w:rsidRPr="00333E6E">
        <w:rPr>
          <w:rFonts w:ascii="Arial" w:hAnsi="Arial" w:cs="Arial"/>
          <w:b/>
          <w:bCs/>
          <w:sz w:val="20"/>
          <w:szCs w:val="20"/>
        </w:rPr>
        <w:t>Question 3</w:t>
      </w:r>
    </w:p>
    <w:p w14:paraId="426A1EA6" w14:textId="6C75DA05" w:rsidR="00333E6E" w:rsidRPr="00333E6E" w:rsidRDefault="00333E6E" w:rsidP="00333E6E">
      <w:pPr>
        <w:rPr>
          <w:rFonts w:ascii="Arial" w:hAnsi="Arial" w:cs="Arial"/>
          <w:sz w:val="20"/>
          <w:szCs w:val="20"/>
        </w:rPr>
      </w:pPr>
      <w:r w:rsidRPr="00333E6E">
        <w:rPr>
          <w:rFonts w:ascii="Arial" w:hAnsi="Arial" w:cs="Arial"/>
          <w:sz w:val="20"/>
          <w:szCs w:val="20"/>
        </w:rPr>
        <w:t xml:space="preserve">This question was answered well in most cases. Only some candidates were confident around the need to ignore grant funding and include the reverse charge on supplies from Ireland. Unfortunately, some candidates included the prospective data to calculate the date of registration rather than following the question which only required them to look at the historic data to October 2025. Most candidates understood the flat rate scheme and selected the correct rate and were able to do the required analysis to compare this to the standard scheme although a small number grossed up the sales by a factor of 1.2 before calculating the FRS VAT due. On the final part of the questions, candidates now seem to be familiar with the concept of digital links and the impact on compliance with making tax digital so scored well on this part of the question although a small number conflated digital links in your accounting </w:t>
      </w:r>
      <w:r w:rsidR="00E71B9C" w:rsidRPr="00333E6E">
        <w:rPr>
          <w:rFonts w:ascii="Arial" w:hAnsi="Arial" w:cs="Arial"/>
          <w:sz w:val="20"/>
          <w:szCs w:val="20"/>
        </w:rPr>
        <w:t>system and</w:t>
      </w:r>
      <w:r w:rsidRPr="00333E6E">
        <w:rPr>
          <w:rFonts w:ascii="Arial" w:hAnsi="Arial" w:cs="Arial"/>
          <w:sz w:val="20"/>
          <w:szCs w:val="20"/>
        </w:rPr>
        <w:t xml:space="preserve"> the need to use functionally compatible software to submit the return to HMRC.</w:t>
      </w:r>
    </w:p>
    <w:p w14:paraId="1A985383" w14:textId="77777777" w:rsidR="00A224CC" w:rsidRPr="00333E6E" w:rsidRDefault="00A224CC" w:rsidP="00AA2133">
      <w:pPr>
        <w:rPr>
          <w:rFonts w:ascii="Arial" w:hAnsi="Arial" w:cs="Arial"/>
          <w:b/>
          <w:bCs/>
          <w:sz w:val="20"/>
          <w:szCs w:val="20"/>
        </w:rPr>
      </w:pPr>
    </w:p>
    <w:p w14:paraId="446947E3" w14:textId="77777777" w:rsidR="00333E6E" w:rsidRDefault="00333E6E">
      <w:pPr>
        <w:rPr>
          <w:rFonts w:ascii="Arial" w:hAnsi="Arial" w:cs="Arial"/>
          <w:b/>
          <w:bCs/>
          <w:sz w:val="20"/>
          <w:szCs w:val="20"/>
        </w:rPr>
      </w:pPr>
      <w:r>
        <w:rPr>
          <w:rFonts w:ascii="Arial" w:hAnsi="Arial" w:cs="Arial"/>
          <w:b/>
          <w:bCs/>
          <w:sz w:val="20"/>
          <w:szCs w:val="20"/>
        </w:rPr>
        <w:br w:type="page"/>
      </w:r>
    </w:p>
    <w:p w14:paraId="3C2548DB" w14:textId="56ACF614" w:rsidR="00AA2133" w:rsidRPr="00333E6E" w:rsidRDefault="00AA2133" w:rsidP="00AA2133">
      <w:pPr>
        <w:rPr>
          <w:rFonts w:ascii="Arial" w:hAnsi="Arial" w:cs="Arial"/>
          <w:b/>
          <w:bCs/>
          <w:sz w:val="20"/>
          <w:szCs w:val="20"/>
        </w:rPr>
      </w:pPr>
      <w:r w:rsidRPr="00333E6E">
        <w:rPr>
          <w:rFonts w:ascii="Arial" w:hAnsi="Arial" w:cs="Arial"/>
          <w:b/>
          <w:bCs/>
          <w:sz w:val="20"/>
          <w:szCs w:val="20"/>
        </w:rPr>
        <w:lastRenderedPageBreak/>
        <w:t>Question 4</w:t>
      </w:r>
    </w:p>
    <w:p w14:paraId="072BC101" w14:textId="7AC5D2E9" w:rsidR="00A224CC" w:rsidRPr="00333E6E" w:rsidRDefault="0031329E" w:rsidP="00AA2133">
      <w:pPr>
        <w:rPr>
          <w:rFonts w:ascii="Arial" w:hAnsi="Arial" w:cs="Arial"/>
          <w:sz w:val="20"/>
          <w:szCs w:val="20"/>
        </w:rPr>
      </w:pPr>
      <w:r w:rsidRPr="00333E6E">
        <w:rPr>
          <w:rFonts w:ascii="Arial" w:hAnsi="Arial" w:cs="Arial"/>
          <w:sz w:val="20"/>
          <w:szCs w:val="20"/>
        </w:rPr>
        <w:t>Most candi</w:t>
      </w:r>
      <w:r w:rsidR="00194C3B" w:rsidRPr="00333E6E">
        <w:rPr>
          <w:rFonts w:ascii="Arial" w:hAnsi="Arial" w:cs="Arial"/>
          <w:sz w:val="20"/>
          <w:szCs w:val="20"/>
        </w:rPr>
        <w:t xml:space="preserve">dates appear to have understood the mechanics of the </w:t>
      </w:r>
      <w:r w:rsidR="00212167" w:rsidRPr="00333E6E">
        <w:rPr>
          <w:rFonts w:ascii="Arial" w:hAnsi="Arial" w:cs="Arial"/>
          <w:sz w:val="20"/>
          <w:szCs w:val="20"/>
        </w:rPr>
        <w:t>annual accounting scheme</w:t>
      </w:r>
      <w:r w:rsidR="00D534B6" w:rsidRPr="00333E6E">
        <w:rPr>
          <w:rFonts w:ascii="Arial" w:hAnsi="Arial" w:cs="Arial"/>
          <w:sz w:val="20"/>
          <w:szCs w:val="20"/>
        </w:rPr>
        <w:t xml:space="preserve"> and scored well. </w:t>
      </w:r>
      <w:r w:rsidR="00F42990" w:rsidRPr="00333E6E">
        <w:rPr>
          <w:rFonts w:ascii="Arial" w:hAnsi="Arial" w:cs="Arial"/>
          <w:sz w:val="20"/>
          <w:szCs w:val="20"/>
        </w:rPr>
        <w:t xml:space="preserve">Dealing with the expected increase in sales was more difficult with very few candidates identifying that a change of 10% </w:t>
      </w:r>
      <w:r w:rsidR="006C50E0" w:rsidRPr="00333E6E">
        <w:rPr>
          <w:rFonts w:ascii="Arial" w:hAnsi="Arial" w:cs="Arial"/>
          <w:sz w:val="20"/>
          <w:szCs w:val="20"/>
        </w:rPr>
        <w:t>ought to trigger an adjustment in the instalment values if/when it occurs.</w:t>
      </w:r>
      <w:r w:rsidR="001D6C8A" w:rsidRPr="00333E6E">
        <w:rPr>
          <w:rFonts w:ascii="Arial" w:hAnsi="Arial" w:cs="Arial"/>
          <w:sz w:val="20"/>
          <w:szCs w:val="20"/>
        </w:rPr>
        <w:t xml:space="preserve"> Some candidates </w:t>
      </w:r>
      <w:r w:rsidR="00FF5B3B" w:rsidRPr="00333E6E">
        <w:rPr>
          <w:rFonts w:ascii="Arial" w:hAnsi="Arial" w:cs="Arial"/>
          <w:sz w:val="20"/>
          <w:szCs w:val="20"/>
        </w:rPr>
        <w:t>missed</w:t>
      </w:r>
      <w:r w:rsidR="001D6C8A" w:rsidRPr="00333E6E">
        <w:rPr>
          <w:rFonts w:ascii="Arial" w:hAnsi="Arial" w:cs="Arial"/>
          <w:sz w:val="20"/>
          <w:szCs w:val="20"/>
        </w:rPr>
        <w:t xml:space="preserve"> points by simply stating what the VAT liability of new income streams was rather than ‘explaining’ it – as required by the question.</w:t>
      </w:r>
    </w:p>
    <w:p w14:paraId="20C086C4" w14:textId="74A414C4" w:rsidR="00FF5B3B" w:rsidRPr="00333E6E" w:rsidRDefault="00FF5B3B" w:rsidP="00AA2133">
      <w:pPr>
        <w:rPr>
          <w:rFonts w:ascii="Arial" w:hAnsi="Arial" w:cs="Arial"/>
          <w:sz w:val="20"/>
          <w:szCs w:val="20"/>
        </w:rPr>
      </w:pPr>
      <w:r w:rsidRPr="00333E6E">
        <w:rPr>
          <w:rFonts w:ascii="Arial" w:hAnsi="Arial" w:cs="Arial"/>
          <w:sz w:val="20"/>
          <w:szCs w:val="20"/>
        </w:rPr>
        <w:t xml:space="preserve">The treatment of tax points was straight forward and handled well. </w:t>
      </w:r>
      <w:r w:rsidR="008F71A3" w:rsidRPr="00333E6E">
        <w:rPr>
          <w:rFonts w:ascii="Arial" w:hAnsi="Arial" w:cs="Arial"/>
          <w:sz w:val="20"/>
          <w:szCs w:val="20"/>
        </w:rPr>
        <w:t>A small number of candidates missed points by regurgitating the rules rather than applying them to the specifics of P</w:t>
      </w:r>
      <w:r w:rsidR="00311368" w:rsidRPr="00333E6E">
        <w:rPr>
          <w:rFonts w:ascii="Arial" w:hAnsi="Arial" w:cs="Arial"/>
          <w:sz w:val="20"/>
          <w:szCs w:val="20"/>
        </w:rPr>
        <w:t>olly’s shop.</w:t>
      </w:r>
    </w:p>
    <w:p w14:paraId="389EAFB7" w14:textId="77777777" w:rsidR="00FF5B3B" w:rsidRPr="00333E6E" w:rsidRDefault="00FF5B3B" w:rsidP="00AA2133">
      <w:pPr>
        <w:rPr>
          <w:rFonts w:ascii="Arial" w:hAnsi="Arial" w:cs="Arial"/>
          <w:b/>
          <w:bCs/>
          <w:sz w:val="20"/>
          <w:szCs w:val="20"/>
        </w:rPr>
      </w:pPr>
    </w:p>
    <w:p w14:paraId="377A7923" w14:textId="56F9EDDA" w:rsidR="00AA2133" w:rsidRPr="00333E6E" w:rsidRDefault="00AA2133" w:rsidP="00AA2133">
      <w:pPr>
        <w:rPr>
          <w:rFonts w:ascii="Arial" w:hAnsi="Arial" w:cs="Arial"/>
          <w:b/>
          <w:bCs/>
          <w:sz w:val="20"/>
          <w:szCs w:val="20"/>
        </w:rPr>
      </w:pPr>
      <w:r w:rsidRPr="00333E6E">
        <w:rPr>
          <w:rFonts w:ascii="Arial" w:hAnsi="Arial" w:cs="Arial"/>
          <w:b/>
          <w:bCs/>
          <w:sz w:val="20"/>
          <w:szCs w:val="20"/>
        </w:rPr>
        <w:t>Question 5</w:t>
      </w:r>
    </w:p>
    <w:p w14:paraId="7085F7D2" w14:textId="5DD2563E" w:rsidR="00AA2133" w:rsidRPr="00333E6E" w:rsidRDefault="00311368" w:rsidP="00AA2133">
      <w:pPr>
        <w:rPr>
          <w:rFonts w:ascii="Arial" w:hAnsi="Arial" w:cs="Arial"/>
          <w:sz w:val="20"/>
          <w:szCs w:val="20"/>
        </w:rPr>
      </w:pPr>
      <w:r w:rsidRPr="00333E6E">
        <w:rPr>
          <w:rFonts w:ascii="Arial" w:hAnsi="Arial" w:cs="Arial"/>
          <w:sz w:val="20"/>
          <w:szCs w:val="20"/>
        </w:rPr>
        <w:t>The partial exemption part of this calculation was mostly handled really well, but it was an entirely different story when candidates reached the capital goods scheme calculation</w:t>
      </w:r>
      <w:r w:rsidR="008268DA" w:rsidRPr="00333E6E">
        <w:rPr>
          <w:rFonts w:ascii="Arial" w:hAnsi="Arial" w:cs="Arial"/>
          <w:sz w:val="20"/>
          <w:szCs w:val="20"/>
        </w:rPr>
        <w:t xml:space="preserve"> (CGS)</w:t>
      </w:r>
      <w:r w:rsidRPr="00333E6E">
        <w:rPr>
          <w:rFonts w:ascii="Arial" w:hAnsi="Arial" w:cs="Arial"/>
          <w:sz w:val="20"/>
          <w:szCs w:val="20"/>
        </w:rPr>
        <w:t xml:space="preserve"> with few scoring well.</w:t>
      </w:r>
      <w:r w:rsidR="00D239EB" w:rsidRPr="00333E6E">
        <w:rPr>
          <w:rFonts w:ascii="Arial" w:hAnsi="Arial" w:cs="Arial"/>
          <w:sz w:val="20"/>
          <w:szCs w:val="20"/>
        </w:rPr>
        <w:t xml:space="preserve"> Most identified that no CGS adjustments were due on the 12 year old lease and software. </w:t>
      </w:r>
      <w:r w:rsidR="004D6CF5" w:rsidRPr="00333E6E">
        <w:rPr>
          <w:rFonts w:ascii="Arial" w:hAnsi="Arial" w:cs="Arial"/>
          <w:sz w:val="20"/>
          <w:szCs w:val="20"/>
        </w:rPr>
        <w:t xml:space="preserve">Quite a few candidates said that no reclaim was due on the refurbishment of the </w:t>
      </w:r>
      <w:r w:rsidR="00941744" w:rsidRPr="00333E6E">
        <w:rPr>
          <w:rFonts w:ascii="Arial" w:hAnsi="Arial" w:cs="Arial"/>
          <w:sz w:val="20"/>
          <w:szCs w:val="20"/>
        </w:rPr>
        <w:t>commercial building</w:t>
      </w:r>
      <w:r w:rsidR="00A00BB2" w:rsidRPr="00333E6E">
        <w:rPr>
          <w:rFonts w:ascii="Arial" w:hAnsi="Arial" w:cs="Arial"/>
          <w:sz w:val="20"/>
          <w:szCs w:val="20"/>
        </w:rPr>
        <w:t xml:space="preserve"> because none was reclaimed at the outset. Those that did identify the availability of a reclaim then </w:t>
      </w:r>
      <w:r w:rsidR="00543507" w:rsidRPr="00333E6E">
        <w:rPr>
          <w:rFonts w:ascii="Arial" w:hAnsi="Arial" w:cs="Arial"/>
          <w:sz w:val="20"/>
          <w:szCs w:val="20"/>
        </w:rPr>
        <w:t xml:space="preserve">frequently adjusted the base value to the partial rate and not the full reclaim which is available. </w:t>
      </w:r>
      <w:r w:rsidR="008268DA" w:rsidRPr="00333E6E">
        <w:rPr>
          <w:rFonts w:ascii="Arial" w:hAnsi="Arial" w:cs="Arial"/>
          <w:sz w:val="20"/>
          <w:szCs w:val="20"/>
        </w:rPr>
        <w:t>Some concluded erroneously that roads were not in CGS</w:t>
      </w:r>
      <w:r w:rsidR="00676780" w:rsidRPr="00333E6E">
        <w:rPr>
          <w:rFonts w:ascii="Arial" w:hAnsi="Arial" w:cs="Arial"/>
          <w:sz w:val="20"/>
          <w:szCs w:val="20"/>
        </w:rPr>
        <w:t>.</w:t>
      </w:r>
    </w:p>
    <w:p w14:paraId="5AF99492" w14:textId="4D26B363" w:rsidR="00AA2133" w:rsidRPr="00333E6E" w:rsidRDefault="00AA2133" w:rsidP="00AA2133">
      <w:pPr>
        <w:rPr>
          <w:rFonts w:ascii="Arial" w:hAnsi="Arial" w:cs="Arial"/>
          <w:b/>
          <w:bCs/>
          <w:sz w:val="20"/>
          <w:szCs w:val="20"/>
        </w:rPr>
      </w:pPr>
      <w:r w:rsidRPr="00333E6E">
        <w:rPr>
          <w:rFonts w:ascii="Arial" w:hAnsi="Arial" w:cs="Arial"/>
          <w:b/>
          <w:bCs/>
          <w:sz w:val="20"/>
          <w:szCs w:val="20"/>
        </w:rPr>
        <w:t>Question 6</w:t>
      </w:r>
    </w:p>
    <w:p w14:paraId="67334E92" w14:textId="15E71326" w:rsidR="00FA08C4" w:rsidRPr="00333E6E" w:rsidRDefault="00676780" w:rsidP="00AA2133">
      <w:pPr>
        <w:rPr>
          <w:rFonts w:ascii="Arial" w:hAnsi="Arial" w:cs="Arial"/>
          <w:sz w:val="20"/>
          <w:szCs w:val="20"/>
        </w:rPr>
      </w:pPr>
      <w:r w:rsidRPr="00333E6E">
        <w:rPr>
          <w:rFonts w:ascii="Arial" w:hAnsi="Arial" w:cs="Arial"/>
          <w:sz w:val="20"/>
          <w:szCs w:val="20"/>
        </w:rPr>
        <w:t>Many candida</w:t>
      </w:r>
      <w:r w:rsidR="008C11E9" w:rsidRPr="00333E6E">
        <w:rPr>
          <w:rFonts w:ascii="Arial" w:hAnsi="Arial" w:cs="Arial"/>
          <w:sz w:val="20"/>
          <w:szCs w:val="20"/>
        </w:rPr>
        <w:t>tes handled this well. Some candidates thought that the option to tax was not binding on the new owner as it had been made by the previous owner</w:t>
      </w:r>
      <w:r w:rsidR="00CC31C5" w:rsidRPr="00333E6E">
        <w:rPr>
          <w:rFonts w:ascii="Arial" w:hAnsi="Arial" w:cs="Arial"/>
          <w:sz w:val="20"/>
          <w:szCs w:val="20"/>
        </w:rPr>
        <w:t xml:space="preserve">s. This is not correct – the option was made by the company and the properties continued to be owned by the company. </w:t>
      </w:r>
      <w:r w:rsidR="008C11E9" w:rsidRPr="00333E6E">
        <w:rPr>
          <w:rFonts w:ascii="Arial" w:hAnsi="Arial" w:cs="Arial"/>
          <w:sz w:val="20"/>
          <w:szCs w:val="20"/>
        </w:rPr>
        <w:t xml:space="preserve">Many failed to identify that the charity building </w:t>
      </w:r>
      <w:r w:rsidR="00CC31C5" w:rsidRPr="00333E6E">
        <w:rPr>
          <w:rFonts w:ascii="Arial" w:hAnsi="Arial" w:cs="Arial"/>
          <w:sz w:val="20"/>
          <w:szCs w:val="20"/>
        </w:rPr>
        <w:t>was</w:t>
      </w:r>
      <w:r w:rsidR="007E6023" w:rsidRPr="00333E6E">
        <w:rPr>
          <w:rFonts w:ascii="Arial" w:hAnsi="Arial" w:cs="Arial"/>
          <w:sz w:val="20"/>
          <w:szCs w:val="20"/>
        </w:rPr>
        <w:t xml:space="preserve"> still subject to the option because it was used as an office, but this was one of the more difficult </w:t>
      </w:r>
      <w:r w:rsidR="00FA08C4" w:rsidRPr="00333E6E">
        <w:rPr>
          <w:rFonts w:ascii="Arial" w:hAnsi="Arial" w:cs="Arial"/>
          <w:sz w:val="20"/>
          <w:szCs w:val="20"/>
        </w:rPr>
        <w:t>points in the question.</w:t>
      </w:r>
    </w:p>
    <w:p w14:paraId="25D44556" w14:textId="152B1D5C" w:rsidR="00FA08C4" w:rsidRPr="00333E6E" w:rsidRDefault="0085296E" w:rsidP="00AA2133">
      <w:pPr>
        <w:rPr>
          <w:rFonts w:ascii="Arial" w:hAnsi="Arial" w:cs="Arial"/>
          <w:sz w:val="20"/>
          <w:szCs w:val="20"/>
        </w:rPr>
      </w:pPr>
      <w:r w:rsidRPr="00333E6E">
        <w:rPr>
          <w:rFonts w:ascii="Arial" w:hAnsi="Arial" w:cs="Arial"/>
          <w:sz w:val="20"/>
          <w:szCs w:val="20"/>
        </w:rPr>
        <w:t xml:space="preserve">Some candidates </w:t>
      </w:r>
      <w:r w:rsidR="0052205A" w:rsidRPr="00333E6E">
        <w:rPr>
          <w:rFonts w:ascii="Arial" w:hAnsi="Arial" w:cs="Arial"/>
          <w:sz w:val="20"/>
          <w:szCs w:val="20"/>
        </w:rPr>
        <w:t>lost</w:t>
      </w:r>
      <w:r w:rsidRPr="00333E6E">
        <w:rPr>
          <w:rFonts w:ascii="Arial" w:hAnsi="Arial" w:cs="Arial"/>
          <w:sz w:val="20"/>
          <w:szCs w:val="20"/>
        </w:rPr>
        <w:t xml:space="preserve"> time talking about the benefits of an option to tax having already established that the option could not apply to the dwellings and that the </w:t>
      </w:r>
      <w:r w:rsidR="00537BAC" w:rsidRPr="00333E6E">
        <w:rPr>
          <w:rFonts w:ascii="Arial" w:hAnsi="Arial" w:cs="Arial"/>
          <w:sz w:val="20"/>
          <w:szCs w:val="20"/>
        </w:rPr>
        <w:t>sale of the storage facility would be taxable</w:t>
      </w:r>
      <w:r w:rsidR="0052205A" w:rsidRPr="00333E6E">
        <w:rPr>
          <w:rFonts w:ascii="Arial" w:hAnsi="Arial" w:cs="Arial"/>
          <w:sz w:val="20"/>
          <w:szCs w:val="20"/>
        </w:rPr>
        <w:t>.</w:t>
      </w:r>
    </w:p>
    <w:p w14:paraId="7C296398" w14:textId="4FC84010" w:rsidR="00FD4064" w:rsidRPr="00333E6E" w:rsidRDefault="00FD4064" w:rsidP="00AA2133">
      <w:pPr>
        <w:rPr>
          <w:rFonts w:ascii="Arial" w:hAnsi="Arial" w:cs="Arial"/>
          <w:sz w:val="20"/>
          <w:szCs w:val="20"/>
        </w:rPr>
      </w:pPr>
      <w:r w:rsidRPr="00333E6E">
        <w:rPr>
          <w:rFonts w:ascii="Arial" w:hAnsi="Arial" w:cs="Arial"/>
          <w:sz w:val="20"/>
          <w:szCs w:val="20"/>
        </w:rPr>
        <w:t>Most candidates picked up points on the miscellaneous income, though</w:t>
      </w:r>
      <w:r w:rsidR="00471229" w:rsidRPr="00333E6E">
        <w:rPr>
          <w:rFonts w:ascii="Arial" w:hAnsi="Arial" w:cs="Arial"/>
          <w:sz w:val="20"/>
          <w:szCs w:val="20"/>
        </w:rPr>
        <w:t xml:space="preserve"> some went astray with the tennis courts </w:t>
      </w:r>
      <w:r w:rsidR="00692708" w:rsidRPr="00333E6E">
        <w:rPr>
          <w:rFonts w:ascii="Arial" w:hAnsi="Arial" w:cs="Arial"/>
          <w:sz w:val="20"/>
          <w:szCs w:val="20"/>
        </w:rPr>
        <w:t xml:space="preserve">either </w:t>
      </w:r>
      <w:r w:rsidR="00471229" w:rsidRPr="00333E6E">
        <w:rPr>
          <w:rFonts w:ascii="Arial" w:hAnsi="Arial" w:cs="Arial"/>
          <w:sz w:val="20"/>
          <w:szCs w:val="20"/>
        </w:rPr>
        <w:t xml:space="preserve">thinking that the series of 10 or more lets might be applicable </w:t>
      </w:r>
      <w:r w:rsidR="005F0A95" w:rsidRPr="00333E6E">
        <w:rPr>
          <w:rFonts w:ascii="Arial" w:hAnsi="Arial" w:cs="Arial"/>
          <w:sz w:val="20"/>
          <w:szCs w:val="20"/>
        </w:rPr>
        <w:t>to the hotel guests</w:t>
      </w:r>
      <w:r w:rsidR="00692708" w:rsidRPr="00333E6E">
        <w:rPr>
          <w:rFonts w:ascii="Arial" w:hAnsi="Arial" w:cs="Arial"/>
          <w:sz w:val="20"/>
          <w:szCs w:val="20"/>
        </w:rPr>
        <w:t xml:space="preserve"> or that the sporting exemption would apply.</w:t>
      </w:r>
    </w:p>
    <w:sectPr w:rsidR="00FD4064" w:rsidRPr="00333E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7D13" w14:textId="77777777" w:rsidR="00FC76BC" w:rsidRDefault="00FC76BC" w:rsidP="005211FE">
      <w:pPr>
        <w:spacing w:after="0" w:line="240" w:lineRule="auto"/>
      </w:pPr>
      <w:r>
        <w:separator/>
      </w:r>
    </w:p>
  </w:endnote>
  <w:endnote w:type="continuationSeparator" w:id="0">
    <w:p w14:paraId="4AB57825" w14:textId="77777777" w:rsidR="00FC76BC" w:rsidRDefault="00FC76BC" w:rsidP="0052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A271" w14:textId="77777777" w:rsidR="00FC76BC" w:rsidRDefault="00FC76BC" w:rsidP="005211FE">
      <w:pPr>
        <w:spacing w:after="0" w:line="240" w:lineRule="auto"/>
      </w:pPr>
      <w:r>
        <w:separator/>
      </w:r>
    </w:p>
  </w:footnote>
  <w:footnote w:type="continuationSeparator" w:id="0">
    <w:p w14:paraId="55B9DEC7" w14:textId="77777777" w:rsidR="00FC76BC" w:rsidRDefault="00FC76BC" w:rsidP="0052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4634" w14:textId="51735750" w:rsidR="00D50303" w:rsidRPr="00D50303" w:rsidRDefault="00D50303" w:rsidP="00D50303">
    <w:pPr>
      <w:rPr>
        <w:rFonts w:ascii="Arial" w:hAnsi="Arial" w:cs="Arial"/>
        <w:b/>
        <w:bCs/>
        <w:sz w:val="20"/>
        <w:szCs w:val="20"/>
      </w:rPr>
    </w:pPr>
    <w:r w:rsidRPr="00D50303">
      <w:rPr>
        <w:rFonts w:ascii="Arial" w:hAnsi="Arial" w:cs="Arial"/>
        <w:b/>
        <w:bCs/>
        <w:sz w:val="20"/>
        <w:szCs w:val="20"/>
      </w:rPr>
      <w:t xml:space="preserve">ATT </w:t>
    </w:r>
    <w:r w:rsidR="005A198A">
      <w:rPr>
        <w:rFonts w:ascii="Arial" w:hAnsi="Arial" w:cs="Arial"/>
        <w:b/>
        <w:bCs/>
        <w:sz w:val="20"/>
        <w:szCs w:val="20"/>
      </w:rPr>
      <w:t>November</w:t>
    </w:r>
    <w:r w:rsidR="00075144">
      <w:rPr>
        <w:rFonts w:ascii="Arial" w:hAnsi="Arial" w:cs="Arial"/>
        <w:b/>
        <w:bCs/>
        <w:sz w:val="20"/>
        <w:szCs w:val="20"/>
      </w:rPr>
      <w:t xml:space="preserve"> 202</w:t>
    </w:r>
    <w:r w:rsidR="00535799">
      <w:rPr>
        <w:rFonts w:ascii="Arial" w:hAnsi="Arial" w:cs="Arial"/>
        <w:b/>
        <w:bCs/>
        <w:sz w:val="20"/>
        <w:szCs w:val="20"/>
      </w:rPr>
      <w:t>5</w:t>
    </w:r>
  </w:p>
  <w:p w14:paraId="25DF0612" w14:textId="6F2D577E" w:rsidR="00D50303" w:rsidRPr="00D50303" w:rsidRDefault="00D50303" w:rsidP="00D50303">
    <w:pPr>
      <w:rPr>
        <w:rFonts w:ascii="Arial" w:hAnsi="Arial" w:cs="Arial"/>
        <w:b/>
        <w:bCs/>
        <w:color w:val="FF0000"/>
        <w:sz w:val="20"/>
        <w:szCs w:val="20"/>
      </w:rPr>
    </w:pPr>
    <w:r w:rsidRPr="00D50303">
      <w:rPr>
        <w:rFonts w:ascii="Arial" w:hAnsi="Arial" w:cs="Arial"/>
        <w:b/>
        <w:bCs/>
        <w:sz w:val="20"/>
        <w:szCs w:val="20"/>
      </w:rPr>
      <w:t xml:space="preserve">Paper </w:t>
    </w:r>
    <w:r w:rsidR="001E79D2">
      <w:rPr>
        <w:rFonts w:ascii="Arial" w:hAnsi="Arial" w:cs="Arial"/>
        <w:b/>
        <w:bCs/>
        <w:sz w:val="20"/>
        <w:szCs w:val="20"/>
      </w:rPr>
      <w:t>6</w:t>
    </w:r>
    <w:r w:rsidRPr="00D50303">
      <w:rPr>
        <w:rFonts w:ascii="Arial" w:hAnsi="Arial" w:cs="Arial"/>
        <w:b/>
        <w:bCs/>
        <w:sz w:val="20"/>
        <w:szCs w:val="20"/>
      </w:rPr>
      <w:t xml:space="preserve">: </w:t>
    </w:r>
    <w:r w:rsidR="001E79D2">
      <w:rPr>
        <w:rFonts w:ascii="Arial" w:hAnsi="Arial" w:cs="Arial"/>
        <w:b/>
        <w:bCs/>
        <w:sz w:val="20"/>
        <w:szCs w:val="20"/>
      </w:rPr>
      <w:t>VAT</w:t>
    </w:r>
  </w:p>
  <w:p w14:paraId="77F89775" w14:textId="77777777" w:rsidR="00D50303" w:rsidRPr="00D50303" w:rsidRDefault="00D50303" w:rsidP="00D50303">
    <w:pPr>
      <w:rPr>
        <w:rFonts w:ascii="Arial" w:hAnsi="Arial" w:cs="Arial"/>
        <w:b/>
        <w:bCs/>
        <w:sz w:val="20"/>
        <w:szCs w:val="20"/>
      </w:rPr>
    </w:pPr>
    <w:r w:rsidRPr="00D50303">
      <w:rPr>
        <w:rFonts w:ascii="Arial" w:hAnsi="Arial" w:cs="Arial"/>
        <w:b/>
        <w:bCs/>
        <w:sz w:val="20"/>
        <w:szCs w:val="20"/>
      </w:rPr>
      <w:t>Examiners’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FE"/>
    <w:rsid w:val="000604BC"/>
    <w:rsid w:val="00072308"/>
    <w:rsid w:val="00075144"/>
    <w:rsid w:val="000A1184"/>
    <w:rsid w:val="000C3241"/>
    <w:rsid w:val="000C7E6E"/>
    <w:rsid w:val="000D0504"/>
    <w:rsid w:val="000F177A"/>
    <w:rsid w:val="000F6DCF"/>
    <w:rsid w:val="000F7CAC"/>
    <w:rsid w:val="001248F1"/>
    <w:rsid w:val="00165542"/>
    <w:rsid w:val="00194C3B"/>
    <w:rsid w:val="001D6C8A"/>
    <w:rsid w:val="001E79D2"/>
    <w:rsid w:val="00212167"/>
    <w:rsid w:val="00214894"/>
    <w:rsid w:val="00214C35"/>
    <w:rsid w:val="00227479"/>
    <w:rsid w:val="002A4C9F"/>
    <w:rsid w:val="002B08FB"/>
    <w:rsid w:val="00307C55"/>
    <w:rsid w:val="00311368"/>
    <w:rsid w:val="0031329E"/>
    <w:rsid w:val="0032335F"/>
    <w:rsid w:val="0032476B"/>
    <w:rsid w:val="003269EC"/>
    <w:rsid w:val="00333E6E"/>
    <w:rsid w:val="003452F2"/>
    <w:rsid w:val="00357638"/>
    <w:rsid w:val="00367617"/>
    <w:rsid w:val="00372A7B"/>
    <w:rsid w:val="00382361"/>
    <w:rsid w:val="003A36E3"/>
    <w:rsid w:val="003A65FB"/>
    <w:rsid w:val="003B7ACA"/>
    <w:rsid w:val="00403875"/>
    <w:rsid w:val="00437BEF"/>
    <w:rsid w:val="00471229"/>
    <w:rsid w:val="004A660D"/>
    <w:rsid w:val="004D6CF5"/>
    <w:rsid w:val="00500D0E"/>
    <w:rsid w:val="005211FE"/>
    <w:rsid w:val="0052205A"/>
    <w:rsid w:val="00535799"/>
    <w:rsid w:val="00537BAC"/>
    <w:rsid w:val="00543507"/>
    <w:rsid w:val="00552E0F"/>
    <w:rsid w:val="00570D69"/>
    <w:rsid w:val="00576164"/>
    <w:rsid w:val="00596806"/>
    <w:rsid w:val="005A197C"/>
    <w:rsid w:val="005A198A"/>
    <w:rsid w:val="005C0E45"/>
    <w:rsid w:val="005C6E0C"/>
    <w:rsid w:val="005F0A95"/>
    <w:rsid w:val="0062412F"/>
    <w:rsid w:val="006453E7"/>
    <w:rsid w:val="00652FF9"/>
    <w:rsid w:val="00676780"/>
    <w:rsid w:val="00687DAD"/>
    <w:rsid w:val="00692708"/>
    <w:rsid w:val="00696DFE"/>
    <w:rsid w:val="006A7109"/>
    <w:rsid w:val="006C1B3A"/>
    <w:rsid w:val="006C50E0"/>
    <w:rsid w:val="006F416E"/>
    <w:rsid w:val="00706671"/>
    <w:rsid w:val="00716B2E"/>
    <w:rsid w:val="00725C66"/>
    <w:rsid w:val="00740B0A"/>
    <w:rsid w:val="00741D53"/>
    <w:rsid w:val="0074583B"/>
    <w:rsid w:val="007B7BBA"/>
    <w:rsid w:val="007C77D7"/>
    <w:rsid w:val="007E6023"/>
    <w:rsid w:val="007E708C"/>
    <w:rsid w:val="007F4CF9"/>
    <w:rsid w:val="00813AED"/>
    <w:rsid w:val="008268DA"/>
    <w:rsid w:val="00840BC6"/>
    <w:rsid w:val="00851862"/>
    <w:rsid w:val="0085296E"/>
    <w:rsid w:val="0086304A"/>
    <w:rsid w:val="00874A09"/>
    <w:rsid w:val="00887EF4"/>
    <w:rsid w:val="008A17EA"/>
    <w:rsid w:val="008C11E9"/>
    <w:rsid w:val="008C585E"/>
    <w:rsid w:val="008F71A3"/>
    <w:rsid w:val="0090751B"/>
    <w:rsid w:val="009246D3"/>
    <w:rsid w:val="00941744"/>
    <w:rsid w:val="00964EC4"/>
    <w:rsid w:val="0096528E"/>
    <w:rsid w:val="009B31D0"/>
    <w:rsid w:val="00A00BB2"/>
    <w:rsid w:val="00A053F1"/>
    <w:rsid w:val="00A224CC"/>
    <w:rsid w:val="00A30443"/>
    <w:rsid w:val="00A33FA3"/>
    <w:rsid w:val="00A4177C"/>
    <w:rsid w:val="00A43C1E"/>
    <w:rsid w:val="00A808C2"/>
    <w:rsid w:val="00AA2133"/>
    <w:rsid w:val="00AD214D"/>
    <w:rsid w:val="00AE2CEE"/>
    <w:rsid w:val="00AE2EF8"/>
    <w:rsid w:val="00B55294"/>
    <w:rsid w:val="00B71072"/>
    <w:rsid w:val="00BE7241"/>
    <w:rsid w:val="00C02339"/>
    <w:rsid w:val="00C032F8"/>
    <w:rsid w:val="00C16B4B"/>
    <w:rsid w:val="00C72F6D"/>
    <w:rsid w:val="00CB3BFF"/>
    <w:rsid w:val="00CC31C5"/>
    <w:rsid w:val="00CE5ED5"/>
    <w:rsid w:val="00D03E2C"/>
    <w:rsid w:val="00D239EB"/>
    <w:rsid w:val="00D4539D"/>
    <w:rsid w:val="00D50303"/>
    <w:rsid w:val="00D504BA"/>
    <w:rsid w:val="00D534B6"/>
    <w:rsid w:val="00D5485A"/>
    <w:rsid w:val="00D5786B"/>
    <w:rsid w:val="00DC30DD"/>
    <w:rsid w:val="00DD6CBF"/>
    <w:rsid w:val="00DF2818"/>
    <w:rsid w:val="00E14BB3"/>
    <w:rsid w:val="00E71B9C"/>
    <w:rsid w:val="00E94D7D"/>
    <w:rsid w:val="00EE1349"/>
    <w:rsid w:val="00EF03FA"/>
    <w:rsid w:val="00F20E83"/>
    <w:rsid w:val="00F22C11"/>
    <w:rsid w:val="00F30AE0"/>
    <w:rsid w:val="00F40F21"/>
    <w:rsid w:val="00F411B6"/>
    <w:rsid w:val="00F42990"/>
    <w:rsid w:val="00F73F38"/>
    <w:rsid w:val="00FA08C4"/>
    <w:rsid w:val="00FC76BC"/>
    <w:rsid w:val="00FD216E"/>
    <w:rsid w:val="00FD4064"/>
    <w:rsid w:val="00FF4C30"/>
    <w:rsid w:val="00FF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A0EF"/>
  <w15:chartTrackingRefBased/>
  <w15:docId w15:val="{A577BF92-3C6C-4049-9502-AFB3D75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1FE"/>
  </w:style>
  <w:style w:type="paragraph" w:styleId="Footer">
    <w:name w:val="footer"/>
    <w:basedOn w:val="Normal"/>
    <w:link w:val="FooterChar"/>
    <w:uiPriority w:val="99"/>
    <w:unhideWhenUsed/>
    <w:rsid w:val="0052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Props1.xml><?xml version="1.0" encoding="utf-8"?>
<ds:datastoreItem xmlns:ds="http://schemas.openxmlformats.org/officeDocument/2006/customXml" ds:itemID="{30998983-E1B9-4D8F-A133-61F91918DA56}"/>
</file>

<file path=customXml/itemProps2.xml><?xml version="1.0" encoding="utf-8"?>
<ds:datastoreItem xmlns:ds="http://schemas.openxmlformats.org/officeDocument/2006/customXml" ds:itemID="{A8519D22-C87C-4770-8C88-E16B304B374D}"/>
</file>

<file path=customXml/itemProps3.xml><?xml version="1.0" encoding="utf-8"?>
<ds:datastoreItem xmlns:ds="http://schemas.openxmlformats.org/officeDocument/2006/customXml" ds:itemID="{D32B8A04-0D47-426E-9880-C2D07125FC1B}"/>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4736</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Stainton</dc:creator>
  <cp:keywords/>
  <dc:description/>
  <cp:lastModifiedBy>Helen Stainton</cp:lastModifiedBy>
  <cp:revision>3</cp:revision>
  <dcterms:created xsi:type="dcterms:W3CDTF">2025-11-27T11:05:00Z</dcterms:created>
  <dcterms:modified xsi:type="dcterms:W3CDTF">2025-12-02T11:59:00Z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ies>
</file>