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61A9" w14:textId="20D2BF70" w:rsidR="005211FE" w:rsidRDefault="005211FE">
      <w:pPr>
        <w:rPr>
          <w:rFonts w:ascii="Arial" w:hAnsi="Arial" w:cs="Arial"/>
          <w:b/>
          <w:bCs/>
          <w:sz w:val="20"/>
          <w:szCs w:val="20"/>
        </w:rPr>
      </w:pPr>
      <w:r w:rsidRPr="00D50303">
        <w:rPr>
          <w:rFonts w:ascii="Arial" w:hAnsi="Arial" w:cs="Arial"/>
          <w:b/>
          <w:bCs/>
          <w:sz w:val="20"/>
          <w:szCs w:val="20"/>
        </w:rPr>
        <w:t>General comments</w:t>
      </w:r>
    </w:p>
    <w:p w14:paraId="6C743D85" w14:textId="761473B7" w:rsidR="00681485" w:rsidRPr="005E2D5F" w:rsidRDefault="00681485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Generally a well answered paper by most candidates. It was pleasing how many questions were attempted, even if answers weren’t thorough with a surprising number of candidates earning “easier” marks by attempting all questions. </w:t>
      </w:r>
    </w:p>
    <w:p w14:paraId="7A089BFE" w14:textId="7B3D9163" w:rsidR="00526732" w:rsidRPr="005E2D5F" w:rsidRDefault="00681485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Computational aspects were answered strongly</w:t>
      </w:r>
      <w:r w:rsidR="00994D6B" w:rsidRPr="005E2D5F">
        <w:rPr>
          <w:rFonts w:ascii="Arial" w:hAnsi="Arial" w:cs="Arial"/>
          <w:sz w:val="20"/>
          <w:szCs w:val="20"/>
        </w:rPr>
        <w:t>, but it is worth mentioning that all elements mentioned in a question are applicable to a question. As examiners, we will not provide information that is irrelevant to the scenario we are examining.</w:t>
      </w:r>
    </w:p>
    <w:p w14:paraId="54B87E74" w14:textId="261C4E02" w:rsidR="005211FE" w:rsidRPr="005E2D5F" w:rsidRDefault="005211FE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 xml:space="preserve">Question </w:t>
      </w:r>
      <w:r w:rsidR="00526732" w:rsidRPr="005E2D5F">
        <w:rPr>
          <w:rFonts w:ascii="Arial" w:hAnsi="Arial" w:cs="Arial"/>
          <w:b/>
          <w:bCs/>
          <w:sz w:val="20"/>
          <w:szCs w:val="20"/>
        </w:rPr>
        <w:t>1</w:t>
      </w:r>
    </w:p>
    <w:p w14:paraId="2AA34A93" w14:textId="3D32A6CF" w:rsidR="00F01A2A" w:rsidRPr="005E2D5F" w:rsidRDefault="00F01A2A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1</w:t>
      </w:r>
    </w:p>
    <w:p w14:paraId="71567ECD" w14:textId="5104F511" w:rsidR="00681485" w:rsidRPr="005E2D5F" w:rsidRDefault="00681485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Most candidates scored highly on this question, identifying annual exemptions and the sharing of the annual exemption.</w:t>
      </w:r>
    </w:p>
    <w:p w14:paraId="3AA0904A" w14:textId="75A10DFA" w:rsidR="00AA2133" w:rsidRPr="005E2D5F" w:rsidRDefault="00145D08" w:rsidP="00AA2133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</w:t>
      </w:r>
      <w:r w:rsidR="00AA2133" w:rsidRPr="005E2D5F">
        <w:rPr>
          <w:rFonts w:ascii="Arial" w:hAnsi="Arial" w:cs="Arial"/>
          <w:b/>
          <w:bCs/>
          <w:sz w:val="20"/>
          <w:szCs w:val="20"/>
        </w:rPr>
        <w:t xml:space="preserve"> </w:t>
      </w:r>
      <w:r w:rsidR="00526732" w:rsidRPr="005E2D5F">
        <w:rPr>
          <w:rFonts w:ascii="Arial" w:hAnsi="Arial" w:cs="Arial"/>
          <w:b/>
          <w:bCs/>
          <w:sz w:val="20"/>
          <w:szCs w:val="20"/>
        </w:rPr>
        <w:t>2</w:t>
      </w:r>
    </w:p>
    <w:p w14:paraId="60F7A02B" w14:textId="2DDA3D35" w:rsidR="00526732" w:rsidRPr="005E2D5F" w:rsidRDefault="00681485" w:rsidP="00AA2133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Most candidates scored highly on this questions, correctly offsetting losses, and identifying deadlines. Many </w:t>
      </w:r>
      <w:r w:rsidR="00B03680" w:rsidRPr="005E2D5F">
        <w:rPr>
          <w:rFonts w:ascii="Arial" w:hAnsi="Arial" w:cs="Arial"/>
          <w:sz w:val="20"/>
          <w:szCs w:val="20"/>
        </w:rPr>
        <w:t>candidates</w:t>
      </w:r>
      <w:r w:rsidRPr="005E2D5F">
        <w:rPr>
          <w:rFonts w:ascii="Arial" w:hAnsi="Arial" w:cs="Arial"/>
          <w:sz w:val="20"/>
          <w:szCs w:val="20"/>
        </w:rPr>
        <w:t xml:space="preserve"> failed to answer the part of the question on the Trust Registration Service, losing easy marks to gain. </w:t>
      </w:r>
    </w:p>
    <w:p w14:paraId="76505557" w14:textId="741374CA" w:rsidR="00681485" w:rsidRPr="005E2D5F" w:rsidRDefault="00681485" w:rsidP="00681485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3</w:t>
      </w:r>
    </w:p>
    <w:p w14:paraId="088818DA" w14:textId="2765ADF3" w:rsidR="00681485" w:rsidRPr="005E2D5F" w:rsidRDefault="00681485" w:rsidP="00AA2133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There was a mixed level of responses to this question, with some </w:t>
      </w:r>
      <w:r w:rsidR="00B03680" w:rsidRPr="005E2D5F">
        <w:rPr>
          <w:rFonts w:ascii="Arial" w:hAnsi="Arial" w:cs="Arial"/>
          <w:sz w:val="20"/>
          <w:szCs w:val="20"/>
        </w:rPr>
        <w:t>candidates</w:t>
      </w:r>
      <w:r w:rsidRPr="005E2D5F">
        <w:rPr>
          <w:rFonts w:ascii="Arial" w:hAnsi="Arial" w:cs="Arial"/>
          <w:sz w:val="20"/>
          <w:szCs w:val="20"/>
        </w:rPr>
        <w:t xml:space="preserve"> failing to identify the accumulated income. In general, the principal charge calculation was done well.</w:t>
      </w:r>
    </w:p>
    <w:p w14:paraId="43082D82" w14:textId="77777777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Question 2</w:t>
      </w:r>
    </w:p>
    <w:p w14:paraId="2778CB44" w14:textId="43D10EEA" w:rsidR="00681485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1</w:t>
      </w:r>
    </w:p>
    <w:p w14:paraId="5C4F87B6" w14:textId="258DF843" w:rsidR="00681485" w:rsidRPr="005E2D5F" w:rsidRDefault="00681485" w:rsidP="00526732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This part was answered generally well, although </w:t>
      </w:r>
      <w:proofErr w:type="gramStart"/>
      <w:r w:rsidRPr="005E2D5F">
        <w:rPr>
          <w:rFonts w:ascii="Arial" w:hAnsi="Arial" w:cs="Arial"/>
          <w:sz w:val="20"/>
          <w:szCs w:val="20"/>
        </w:rPr>
        <w:t>a large number of</w:t>
      </w:r>
      <w:proofErr w:type="gramEnd"/>
      <w:r w:rsidRPr="005E2D5F">
        <w:rPr>
          <w:rFonts w:ascii="Arial" w:hAnsi="Arial" w:cs="Arial"/>
          <w:sz w:val="20"/>
          <w:szCs w:val="20"/>
        </w:rPr>
        <w:t xml:space="preserve"> candidates mistakenly stated that an enquiry could be opened 12 months from the date of an amendment, and lost marks by not mentioning that only the amended elements could be </w:t>
      </w:r>
      <w:r w:rsidR="00B03680">
        <w:rPr>
          <w:rFonts w:ascii="Arial" w:hAnsi="Arial" w:cs="Arial"/>
          <w:sz w:val="20"/>
          <w:szCs w:val="20"/>
        </w:rPr>
        <w:t>en</w:t>
      </w:r>
      <w:r w:rsidRPr="005E2D5F">
        <w:rPr>
          <w:rFonts w:ascii="Arial" w:hAnsi="Arial" w:cs="Arial"/>
          <w:sz w:val="20"/>
          <w:szCs w:val="20"/>
        </w:rPr>
        <w:t>quired into.</w:t>
      </w:r>
    </w:p>
    <w:p w14:paraId="7DEDD911" w14:textId="77777777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2</w:t>
      </w:r>
    </w:p>
    <w:p w14:paraId="20A31851" w14:textId="579323F6" w:rsidR="00681485" w:rsidRPr="005E2D5F" w:rsidRDefault="00681485" w:rsidP="00526732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Candidates answered this generally well, although most candidates failed to notice this was a prompted disclosure. </w:t>
      </w:r>
    </w:p>
    <w:p w14:paraId="1EAB95EB" w14:textId="77777777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3</w:t>
      </w:r>
    </w:p>
    <w:p w14:paraId="56778B4C" w14:textId="28BBB133" w:rsidR="00566BDA" w:rsidRPr="005E2D5F" w:rsidRDefault="00681485" w:rsidP="00AA2133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Most candidates passed this question, but </w:t>
      </w:r>
      <w:proofErr w:type="gramStart"/>
      <w:r w:rsidRPr="005E2D5F">
        <w:rPr>
          <w:rFonts w:ascii="Arial" w:hAnsi="Arial" w:cs="Arial"/>
          <w:sz w:val="20"/>
          <w:szCs w:val="20"/>
        </w:rPr>
        <w:t>a large number of</w:t>
      </w:r>
      <w:proofErr w:type="gramEnd"/>
      <w:r w:rsidRPr="005E2D5F">
        <w:rPr>
          <w:rFonts w:ascii="Arial" w:hAnsi="Arial" w:cs="Arial"/>
          <w:sz w:val="20"/>
          <w:szCs w:val="20"/>
        </w:rPr>
        <w:t xml:space="preserve"> </w:t>
      </w:r>
      <w:r w:rsidR="00B03680" w:rsidRPr="005E2D5F">
        <w:rPr>
          <w:rFonts w:ascii="Arial" w:hAnsi="Arial" w:cs="Arial"/>
          <w:sz w:val="20"/>
          <w:szCs w:val="20"/>
        </w:rPr>
        <w:t>candidates</w:t>
      </w:r>
      <w:r w:rsidRPr="005E2D5F">
        <w:rPr>
          <w:rFonts w:ascii="Arial" w:hAnsi="Arial" w:cs="Arial"/>
          <w:sz w:val="20"/>
          <w:szCs w:val="20"/>
        </w:rPr>
        <w:t xml:space="preserve"> didn’t explain the process in enough detail the first steps of an appeal, jumping straight to the stage of tribunal. </w:t>
      </w:r>
    </w:p>
    <w:p w14:paraId="220F7A60" w14:textId="3FE9C00A" w:rsidR="00681485" w:rsidRPr="005E2D5F" w:rsidRDefault="00681485" w:rsidP="00681485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4</w:t>
      </w:r>
    </w:p>
    <w:p w14:paraId="54A6E797" w14:textId="1793AF1A" w:rsidR="00681485" w:rsidRPr="005E2D5F" w:rsidRDefault="00681485" w:rsidP="00AA2133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This was answered generally well, although </w:t>
      </w:r>
      <w:proofErr w:type="gramStart"/>
      <w:r w:rsidRPr="005E2D5F">
        <w:rPr>
          <w:rFonts w:ascii="Arial" w:hAnsi="Arial" w:cs="Arial"/>
          <w:sz w:val="20"/>
          <w:szCs w:val="20"/>
        </w:rPr>
        <w:t>a large number of</w:t>
      </w:r>
      <w:proofErr w:type="gramEnd"/>
      <w:r w:rsidRPr="005E2D5F">
        <w:rPr>
          <w:rFonts w:ascii="Arial" w:hAnsi="Arial" w:cs="Arial"/>
          <w:sz w:val="20"/>
          <w:szCs w:val="20"/>
        </w:rPr>
        <w:t xml:space="preserve"> </w:t>
      </w:r>
      <w:r w:rsidR="00B03680" w:rsidRPr="005E2D5F">
        <w:rPr>
          <w:rFonts w:ascii="Arial" w:hAnsi="Arial" w:cs="Arial"/>
          <w:sz w:val="20"/>
          <w:szCs w:val="20"/>
        </w:rPr>
        <w:t>candidates</w:t>
      </w:r>
      <w:r w:rsidRPr="005E2D5F">
        <w:rPr>
          <w:rFonts w:ascii="Arial" w:hAnsi="Arial" w:cs="Arial"/>
          <w:sz w:val="20"/>
          <w:szCs w:val="20"/>
        </w:rPr>
        <w:t xml:space="preserve"> talked specifically about their own internal procedures, rather than more generally about the approach to this scenario.</w:t>
      </w:r>
    </w:p>
    <w:p w14:paraId="3C2548DB" w14:textId="67FF2005" w:rsidR="00AA2133" w:rsidRPr="005E2D5F" w:rsidRDefault="00AA2133" w:rsidP="00AA2133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 xml:space="preserve">Question </w:t>
      </w:r>
      <w:r w:rsidR="00566BDA" w:rsidRPr="005E2D5F">
        <w:rPr>
          <w:rFonts w:ascii="Arial" w:hAnsi="Arial" w:cs="Arial"/>
          <w:b/>
          <w:bCs/>
          <w:sz w:val="20"/>
          <w:szCs w:val="20"/>
        </w:rPr>
        <w:t>3</w:t>
      </w:r>
    </w:p>
    <w:p w14:paraId="71DBB274" w14:textId="2DEE1317" w:rsidR="00566BDA" w:rsidRPr="005E2D5F" w:rsidRDefault="00566BDA" w:rsidP="00CA0E7D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1</w:t>
      </w:r>
    </w:p>
    <w:p w14:paraId="2F09DDC9" w14:textId="7414634C" w:rsidR="00CA0E7D" w:rsidRDefault="00681485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This question was answered well, although many candidates lost marks by not considering SP02 deductions or not mentioning the informal procedures to disclose the tax to HMRC.</w:t>
      </w:r>
    </w:p>
    <w:p w14:paraId="27AB717F" w14:textId="77777777" w:rsidR="00CA0E7D" w:rsidRDefault="009B6D05" w:rsidP="00AA2133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2</w:t>
      </w:r>
    </w:p>
    <w:p w14:paraId="018F36D3" w14:textId="5042A471" w:rsidR="00AA2133" w:rsidRPr="005E2D5F" w:rsidRDefault="00681485" w:rsidP="00AA2133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This question was answered poorly. Many candidates lost easier marks by not stating the type of legacies paid. </w:t>
      </w:r>
      <w:proofErr w:type="gramStart"/>
      <w:r w:rsidRPr="005E2D5F">
        <w:rPr>
          <w:rFonts w:ascii="Arial" w:hAnsi="Arial" w:cs="Arial"/>
          <w:sz w:val="20"/>
          <w:szCs w:val="20"/>
        </w:rPr>
        <w:t>A large number of</w:t>
      </w:r>
      <w:proofErr w:type="gramEnd"/>
      <w:r w:rsidRPr="005E2D5F">
        <w:rPr>
          <w:rFonts w:ascii="Arial" w:hAnsi="Arial" w:cs="Arial"/>
          <w:sz w:val="20"/>
          <w:szCs w:val="20"/>
        </w:rPr>
        <w:t xml:space="preserve"> </w:t>
      </w:r>
      <w:r w:rsidR="00B03680" w:rsidRPr="005E2D5F">
        <w:rPr>
          <w:rFonts w:ascii="Arial" w:hAnsi="Arial" w:cs="Arial"/>
          <w:sz w:val="20"/>
          <w:szCs w:val="20"/>
        </w:rPr>
        <w:t>candidates</w:t>
      </w:r>
      <w:r w:rsidRPr="005E2D5F">
        <w:rPr>
          <w:rFonts w:ascii="Arial" w:hAnsi="Arial" w:cs="Arial"/>
          <w:sz w:val="20"/>
          <w:szCs w:val="20"/>
        </w:rPr>
        <w:t xml:space="preserve"> failed to notice that the distribution exceeded the net income available, and were unsure of when income was taxed on beneficiaries. </w:t>
      </w:r>
    </w:p>
    <w:p w14:paraId="5DF64F43" w14:textId="77777777" w:rsidR="00681485" w:rsidRPr="005E2D5F" w:rsidRDefault="00681485" w:rsidP="00AA2133">
      <w:pPr>
        <w:rPr>
          <w:rFonts w:ascii="Arial" w:hAnsi="Arial" w:cs="Arial"/>
          <w:sz w:val="20"/>
          <w:szCs w:val="20"/>
        </w:rPr>
      </w:pPr>
    </w:p>
    <w:p w14:paraId="7F42B63F" w14:textId="30089FCE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Question 4</w:t>
      </w:r>
    </w:p>
    <w:p w14:paraId="3D56886C" w14:textId="77777777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1</w:t>
      </w:r>
    </w:p>
    <w:p w14:paraId="44FCAC7C" w14:textId="198AA911" w:rsidR="00F73421" w:rsidRPr="005E2D5F" w:rsidRDefault="009653F5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Very well answered </w:t>
      </w:r>
      <w:proofErr w:type="gramStart"/>
      <w:r w:rsidRPr="005E2D5F">
        <w:rPr>
          <w:rFonts w:ascii="Arial" w:hAnsi="Arial" w:cs="Arial"/>
          <w:sz w:val="20"/>
          <w:szCs w:val="20"/>
        </w:rPr>
        <w:t>on the whole</w:t>
      </w:r>
      <w:proofErr w:type="gramEnd"/>
      <w:r w:rsidR="00F73421" w:rsidRPr="005E2D5F">
        <w:rPr>
          <w:rFonts w:ascii="Arial" w:hAnsi="Arial" w:cs="Arial"/>
          <w:sz w:val="20"/>
          <w:szCs w:val="20"/>
        </w:rPr>
        <w:t>.</w:t>
      </w:r>
      <w:r w:rsidRPr="005E2D5F">
        <w:rPr>
          <w:rFonts w:ascii="Arial" w:hAnsi="Arial" w:cs="Arial"/>
          <w:sz w:val="20"/>
          <w:szCs w:val="20"/>
        </w:rPr>
        <w:t xml:space="preserve"> Candidates should ensure that they provide some explanation as to why BPR and APR were </w:t>
      </w:r>
      <w:r w:rsidR="0048330B" w:rsidRPr="005E2D5F">
        <w:rPr>
          <w:rFonts w:ascii="Arial" w:hAnsi="Arial" w:cs="Arial"/>
          <w:sz w:val="20"/>
          <w:szCs w:val="20"/>
        </w:rPr>
        <w:t xml:space="preserve">given </w:t>
      </w:r>
      <w:proofErr w:type="gramStart"/>
      <w:r w:rsidR="0048330B" w:rsidRPr="005E2D5F">
        <w:rPr>
          <w:rFonts w:ascii="Arial" w:hAnsi="Arial" w:cs="Arial"/>
          <w:sz w:val="20"/>
          <w:szCs w:val="20"/>
        </w:rPr>
        <w:t>in order to</w:t>
      </w:r>
      <w:proofErr w:type="gramEnd"/>
      <w:r w:rsidR="0048330B" w:rsidRPr="005E2D5F">
        <w:rPr>
          <w:rFonts w:ascii="Arial" w:hAnsi="Arial" w:cs="Arial"/>
          <w:sz w:val="20"/>
          <w:szCs w:val="20"/>
        </w:rPr>
        <w:t xml:space="preserve"> ensure that they secure all available marks. </w:t>
      </w:r>
    </w:p>
    <w:p w14:paraId="4522D068" w14:textId="77777777" w:rsidR="00526732" w:rsidRPr="005E2D5F" w:rsidRDefault="00526732" w:rsidP="00526732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2</w:t>
      </w:r>
    </w:p>
    <w:p w14:paraId="07DA583C" w14:textId="2624C12F" w:rsidR="00F73421" w:rsidRPr="005E2D5F" w:rsidRDefault="00432C34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Most candidate</w:t>
      </w:r>
      <w:r w:rsidR="005C3B7D" w:rsidRPr="005E2D5F">
        <w:rPr>
          <w:rFonts w:ascii="Arial" w:hAnsi="Arial" w:cs="Arial"/>
          <w:sz w:val="20"/>
          <w:szCs w:val="20"/>
        </w:rPr>
        <w:t>s</w:t>
      </w:r>
      <w:r w:rsidRPr="005E2D5F">
        <w:rPr>
          <w:rFonts w:ascii="Arial" w:hAnsi="Arial" w:cs="Arial"/>
          <w:sz w:val="20"/>
          <w:szCs w:val="20"/>
        </w:rPr>
        <w:t xml:space="preserve"> took the methodical approach of working through each lifetime transfer and then moving onto the death </w:t>
      </w:r>
      <w:r w:rsidR="003F5345" w:rsidRPr="005E2D5F">
        <w:rPr>
          <w:rFonts w:ascii="Arial" w:hAnsi="Arial" w:cs="Arial"/>
          <w:sz w:val="20"/>
          <w:szCs w:val="20"/>
        </w:rPr>
        <w:t>estate;</w:t>
      </w:r>
      <w:r w:rsidRPr="005E2D5F">
        <w:rPr>
          <w:rFonts w:ascii="Arial" w:hAnsi="Arial" w:cs="Arial"/>
          <w:sz w:val="20"/>
          <w:szCs w:val="20"/>
        </w:rPr>
        <w:t xml:space="preserve"> however some attempted </w:t>
      </w:r>
      <w:r w:rsidR="004908E8" w:rsidRPr="005E2D5F">
        <w:rPr>
          <w:rFonts w:ascii="Arial" w:hAnsi="Arial" w:cs="Arial"/>
          <w:sz w:val="20"/>
          <w:szCs w:val="20"/>
        </w:rPr>
        <w:t xml:space="preserve">to calculate the death tax on lifetime transfers at the same time as the lifetime tax which inevitably led to </w:t>
      </w:r>
      <w:r w:rsidR="00333E37" w:rsidRPr="005E2D5F">
        <w:rPr>
          <w:rFonts w:ascii="Arial" w:hAnsi="Arial" w:cs="Arial"/>
          <w:sz w:val="20"/>
          <w:szCs w:val="20"/>
        </w:rPr>
        <w:t xml:space="preserve">errors. Very few candidates provided any explanation of the </w:t>
      </w:r>
      <w:r w:rsidR="00E004B9" w:rsidRPr="005E2D5F">
        <w:rPr>
          <w:rFonts w:ascii="Arial" w:hAnsi="Arial" w:cs="Arial"/>
          <w:sz w:val="20"/>
          <w:szCs w:val="20"/>
        </w:rPr>
        <w:t>conditional exemption for the painting.</w:t>
      </w:r>
    </w:p>
    <w:p w14:paraId="68074FBE" w14:textId="3F1F1D3F" w:rsidR="00F73421" w:rsidRPr="005E2D5F" w:rsidRDefault="00F73421" w:rsidP="00F73421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3</w:t>
      </w:r>
    </w:p>
    <w:p w14:paraId="7B8B2388" w14:textId="1BBC6131" w:rsidR="00F73421" w:rsidRPr="005E2D5F" w:rsidRDefault="00417D66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Most candidate identified that the IHT recapture charge would appl</w:t>
      </w:r>
      <w:r w:rsidR="001F155A" w:rsidRPr="005E2D5F">
        <w:rPr>
          <w:rFonts w:ascii="Arial" w:hAnsi="Arial" w:cs="Arial"/>
          <w:sz w:val="20"/>
          <w:szCs w:val="20"/>
        </w:rPr>
        <w:t xml:space="preserve">y so answered well </w:t>
      </w:r>
      <w:proofErr w:type="gramStart"/>
      <w:r w:rsidR="001F155A" w:rsidRPr="005E2D5F">
        <w:rPr>
          <w:rFonts w:ascii="Arial" w:hAnsi="Arial" w:cs="Arial"/>
          <w:sz w:val="20"/>
          <w:szCs w:val="20"/>
        </w:rPr>
        <w:t>on the whole</w:t>
      </w:r>
      <w:proofErr w:type="gramEnd"/>
      <w:r w:rsidR="00F73421" w:rsidRPr="005E2D5F">
        <w:rPr>
          <w:rFonts w:ascii="Arial" w:hAnsi="Arial" w:cs="Arial"/>
          <w:sz w:val="20"/>
          <w:szCs w:val="20"/>
        </w:rPr>
        <w:t>.</w:t>
      </w:r>
      <w:r w:rsidR="001F155A" w:rsidRPr="005E2D5F">
        <w:rPr>
          <w:rFonts w:ascii="Arial" w:hAnsi="Arial" w:cs="Arial"/>
          <w:sz w:val="20"/>
          <w:szCs w:val="20"/>
        </w:rPr>
        <w:t xml:space="preserve"> </w:t>
      </w:r>
      <w:r w:rsidR="00152E06" w:rsidRPr="005E2D5F">
        <w:rPr>
          <w:rFonts w:ascii="Arial" w:hAnsi="Arial" w:cs="Arial"/>
          <w:sz w:val="20"/>
          <w:szCs w:val="20"/>
        </w:rPr>
        <w:t>Quite a few</w:t>
      </w:r>
      <w:r w:rsidR="001F155A" w:rsidRPr="005E2D5F">
        <w:rPr>
          <w:rFonts w:ascii="Arial" w:hAnsi="Arial" w:cs="Arial"/>
          <w:sz w:val="20"/>
          <w:szCs w:val="20"/>
        </w:rPr>
        <w:t xml:space="preserve"> </w:t>
      </w:r>
      <w:r w:rsidR="003F5345" w:rsidRPr="005E2D5F">
        <w:rPr>
          <w:rFonts w:ascii="Arial" w:hAnsi="Arial" w:cs="Arial"/>
          <w:sz w:val="20"/>
          <w:szCs w:val="20"/>
        </w:rPr>
        <w:t xml:space="preserve">candidates </w:t>
      </w:r>
      <w:r w:rsidR="001F155A" w:rsidRPr="005E2D5F">
        <w:rPr>
          <w:rFonts w:ascii="Arial" w:hAnsi="Arial" w:cs="Arial"/>
          <w:sz w:val="20"/>
          <w:szCs w:val="20"/>
        </w:rPr>
        <w:t>forgot to deduct the annual exemption</w:t>
      </w:r>
      <w:r w:rsidR="00152E06" w:rsidRPr="005E2D5F">
        <w:rPr>
          <w:rFonts w:ascii="Arial" w:hAnsi="Arial" w:cs="Arial"/>
          <w:sz w:val="20"/>
          <w:szCs w:val="20"/>
        </w:rPr>
        <w:t xml:space="preserve"> in the CGT calculation, or to state that the NRB was not available in the IHT calculation.</w:t>
      </w:r>
    </w:p>
    <w:p w14:paraId="7FEAA6A0" w14:textId="77777777" w:rsidR="00F73421" w:rsidRPr="005E2D5F" w:rsidRDefault="00F73421" w:rsidP="00F73421">
      <w:pPr>
        <w:rPr>
          <w:rFonts w:ascii="Arial" w:hAnsi="Arial" w:cs="Arial"/>
          <w:sz w:val="20"/>
          <w:szCs w:val="20"/>
        </w:rPr>
      </w:pPr>
    </w:p>
    <w:p w14:paraId="0DC5FA37" w14:textId="4F3DEDB5" w:rsidR="006A583B" w:rsidRPr="005E2D5F" w:rsidRDefault="006A583B" w:rsidP="006A583B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Question 5</w:t>
      </w:r>
    </w:p>
    <w:p w14:paraId="3448C326" w14:textId="77777777" w:rsidR="00F73421" w:rsidRPr="005E2D5F" w:rsidRDefault="00F73421" w:rsidP="00F73421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1</w:t>
      </w:r>
    </w:p>
    <w:p w14:paraId="6673480B" w14:textId="470F044C" w:rsidR="00F73421" w:rsidRPr="005E2D5F" w:rsidRDefault="00BC7371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Other than those who failed to identify that the </w:t>
      </w:r>
      <w:r w:rsidR="0084490F" w:rsidRPr="005E2D5F">
        <w:rPr>
          <w:rFonts w:ascii="Arial" w:hAnsi="Arial" w:cs="Arial"/>
          <w:sz w:val="20"/>
          <w:szCs w:val="20"/>
        </w:rPr>
        <w:t>question scenario involved a</w:t>
      </w:r>
      <w:r w:rsidR="002C2540" w:rsidRPr="005E2D5F">
        <w:rPr>
          <w:rFonts w:ascii="Arial" w:hAnsi="Arial" w:cs="Arial"/>
          <w:sz w:val="20"/>
          <w:szCs w:val="20"/>
        </w:rPr>
        <w:t xml:space="preserve"> trust for a disabled person, most candidates were able to obtain many of the basic marks </w:t>
      </w:r>
      <w:r w:rsidR="003F5345" w:rsidRPr="005E2D5F">
        <w:rPr>
          <w:rFonts w:ascii="Arial" w:hAnsi="Arial" w:cs="Arial"/>
          <w:sz w:val="20"/>
          <w:szCs w:val="20"/>
        </w:rPr>
        <w:t>allocated for this requirement</w:t>
      </w:r>
      <w:r w:rsidR="00EE6E2B" w:rsidRPr="005E2D5F">
        <w:rPr>
          <w:rFonts w:ascii="Arial" w:hAnsi="Arial" w:cs="Arial"/>
          <w:sz w:val="20"/>
          <w:szCs w:val="20"/>
        </w:rPr>
        <w:t xml:space="preserve">, however </w:t>
      </w:r>
      <w:r w:rsidR="005C3B7D" w:rsidRPr="005E2D5F">
        <w:rPr>
          <w:rFonts w:ascii="Arial" w:hAnsi="Arial" w:cs="Arial"/>
          <w:sz w:val="20"/>
          <w:szCs w:val="20"/>
        </w:rPr>
        <w:t xml:space="preserve">very </w:t>
      </w:r>
      <w:r w:rsidR="00EE6E2B" w:rsidRPr="005E2D5F">
        <w:rPr>
          <w:rFonts w:ascii="Arial" w:hAnsi="Arial" w:cs="Arial"/>
          <w:sz w:val="20"/>
          <w:szCs w:val="20"/>
        </w:rPr>
        <w:t>few</w:t>
      </w:r>
      <w:r w:rsidR="003F5345" w:rsidRPr="005E2D5F">
        <w:rPr>
          <w:rFonts w:ascii="Arial" w:hAnsi="Arial" w:cs="Arial"/>
          <w:sz w:val="20"/>
          <w:szCs w:val="20"/>
        </w:rPr>
        <w:t xml:space="preserve"> answer</w:t>
      </w:r>
      <w:r w:rsidR="00EE6E2B" w:rsidRPr="005E2D5F">
        <w:rPr>
          <w:rFonts w:ascii="Arial" w:hAnsi="Arial" w:cs="Arial"/>
          <w:sz w:val="20"/>
          <w:szCs w:val="20"/>
        </w:rPr>
        <w:t>ed</w:t>
      </w:r>
      <w:r w:rsidR="003F5345" w:rsidRPr="005E2D5F">
        <w:rPr>
          <w:rFonts w:ascii="Arial" w:hAnsi="Arial" w:cs="Arial"/>
          <w:sz w:val="20"/>
          <w:szCs w:val="20"/>
        </w:rPr>
        <w:t xml:space="preserve"> in sufficient detail to </w:t>
      </w:r>
      <w:r w:rsidR="00B3390B" w:rsidRPr="005E2D5F">
        <w:rPr>
          <w:rFonts w:ascii="Arial" w:hAnsi="Arial" w:cs="Arial"/>
          <w:sz w:val="20"/>
          <w:szCs w:val="20"/>
        </w:rPr>
        <w:t>obtain all marks available</w:t>
      </w:r>
      <w:r w:rsidR="00EE6E2B" w:rsidRPr="005E2D5F">
        <w:rPr>
          <w:rFonts w:ascii="Arial" w:hAnsi="Arial" w:cs="Arial"/>
          <w:sz w:val="20"/>
          <w:szCs w:val="20"/>
        </w:rPr>
        <w:t xml:space="preserve">. </w:t>
      </w:r>
      <w:r w:rsidR="00BC7077" w:rsidRPr="005E2D5F">
        <w:rPr>
          <w:rFonts w:ascii="Arial" w:hAnsi="Arial" w:cs="Arial"/>
          <w:sz w:val="20"/>
          <w:szCs w:val="20"/>
        </w:rPr>
        <w:t>Candidates</w:t>
      </w:r>
      <w:r w:rsidR="00EE6E2B" w:rsidRPr="005E2D5F">
        <w:rPr>
          <w:rFonts w:ascii="Arial" w:hAnsi="Arial" w:cs="Arial"/>
          <w:sz w:val="20"/>
          <w:szCs w:val="20"/>
        </w:rPr>
        <w:t xml:space="preserve"> should ensure they consider the number of marks awarded for the requirement to ensure they provide an appropriately detailed answer.</w:t>
      </w:r>
    </w:p>
    <w:p w14:paraId="6F9FB385" w14:textId="77777777" w:rsidR="00F73421" w:rsidRPr="005E2D5F" w:rsidRDefault="00F73421" w:rsidP="00F73421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2</w:t>
      </w:r>
    </w:p>
    <w:p w14:paraId="5CB6FA3D" w14:textId="1BAEF04B" w:rsidR="00F73421" w:rsidRPr="005E2D5F" w:rsidRDefault="00BC7077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>Well answered</w:t>
      </w:r>
      <w:r w:rsidR="00FF692A" w:rsidRPr="005E2D5F">
        <w:rPr>
          <w:rFonts w:ascii="Arial" w:hAnsi="Arial" w:cs="Arial"/>
          <w:sz w:val="20"/>
          <w:szCs w:val="20"/>
        </w:rPr>
        <w:t xml:space="preserve">. Some candidates did not state </w:t>
      </w:r>
      <w:r w:rsidR="005C3B7D" w:rsidRPr="005E2D5F">
        <w:rPr>
          <w:rFonts w:ascii="Arial" w:hAnsi="Arial" w:cs="Arial"/>
          <w:sz w:val="20"/>
          <w:szCs w:val="20"/>
        </w:rPr>
        <w:t>who was liable to pay the tax and the due date.</w:t>
      </w:r>
      <w:r w:rsidR="00FF692A" w:rsidRPr="005E2D5F">
        <w:rPr>
          <w:rFonts w:ascii="Arial" w:hAnsi="Arial" w:cs="Arial"/>
          <w:sz w:val="20"/>
          <w:szCs w:val="20"/>
        </w:rPr>
        <w:t xml:space="preserve"> </w:t>
      </w:r>
    </w:p>
    <w:p w14:paraId="72AAD8FD" w14:textId="77777777" w:rsidR="00F73421" w:rsidRPr="005E2D5F" w:rsidRDefault="00F73421" w:rsidP="00F73421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3</w:t>
      </w:r>
    </w:p>
    <w:p w14:paraId="1F535228" w14:textId="4C16A374" w:rsidR="00F73421" w:rsidRPr="005E2D5F" w:rsidRDefault="00D700EC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While </w:t>
      </w:r>
      <w:r w:rsidR="00853131" w:rsidRPr="005E2D5F">
        <w:rPr>
          <w:rFonts w:ascii="Arial" w:hAnsi="Arial" w:cs="Arial"/>
          <w:sz w:val="20"/>
          <w:szCs w:val="20"/>
        </w:rPr>
        <w:t>many</w:t>
      </w:r>
      <w:r w:rsidRPr="005E2D5F">
        <w:rPr>
          <w:rFonts w:ascii="Arial" w:hAnsi="Arial" w:cs="Arial"/>
          <w:sz w:val="20"/>
          <w:szCs w:val="20"/>
        </w:rPr>
        <w:t xml:space="preserve"> candidates were able to </w:t>
      </w:r>
      <w:r w:rsidR="00853131" w:rsidRPr="005E2D5F">
        <w:rPr>
          <w:rFonts w:ascii="Arial" w:hAnsi="Arial" w:cs="Arial"/>
          <w:sz w:val="20"/>
          <w:szCs w:val="20"/>
        </w:rPr>
        <w:t xml:space="preserve">identify the differences between this trust and the trust discussed in the first requirement of the question, quite a few either thought that no beneficial tax treatments could apply due to the trust being settlor </w:t>
      </w:r>
      <w:r w:rsidR="00950523" w:rsidRPr="005E2D5F">
        <w:rPr>
          <w:rFonts w:ascii="Arial" w:hAnsi="Arial" w:cs="Arial"/>
          <w:sz w:val="20"/>
          <w:szCs w:val="20"/>
        </w:rPr>
        <w:t>interested or</w:t>
      </w:r>
      <w:r w:rsidR="00853131" w:rsidRPr="005E2D5F">
        <w:rPr>
          <w:rFonts w:ascii="Arial" w:hAnsi="Arial" w:cs="Arial"/>
          <w:sz w:val="20"/>
          <w:szCs w:val="20"/>
        </w:rPr>
        <w:t xml:space="preserve"> failed to </w:t>
      </w:r>
      <w:r w:rsidR="00950523" w:rsidRPr="005E2D5F">
        <w:rPr>
          <w:rFonts w:ascii="Arial" w:hAnsi="Arial" w:cs="Arial"/>
          <w:sz w:val="20"/>
          <w:szCs w:val="20"/>
        </w:rPr>
        <w:t>identify the correct income tax treatment.</w:t>
      </w:r>
    </w:p>
    <w:p w14:paraId="6F69E6C2" w14:textId="3BBE2A29" w:rsidR="00F73421" w:rsidRPr="005E2D5F" w:rsidRDefault="00F73421" w:rsidP="00F73421">
      <w:pPr>
        <w:rPr>
          <w:rFonts w:ascii="Arial" w:hAnsi="Arial" w:cs="Arial"/>
          <w:b/>
          <w:bCs/>
          <w:sz w:val="20"/>
          <w:szCs w:val="20"/>
        </w:rPr>
      </w:pPr>
      <w:r w:rsidRPr="005E2D5F">
        <w:rPr>
          <w:rFonts w:ascii="Arial" w:hAnsi="Arial" w:cs="Arial"/>
          <w:b/>
          <w:bCs/>
          <w:sz w:val="20"/>
          <w:szCs w:val="20"/>
        </w:rPr>
        <w:t>Part 4</w:t>
      </w:r>
    </w:p>
    <w:p w14:paraId="4CC6822F" w14:textId="0EAEBF79" w:rsidR="00F73421" w:rsidRPr="005E2D5F" w:rsidRDefault="00950523" w:rsidP="00F73421">
      <w:pPr>
        <w:rPr>
          <w:rFonts w:ascii="Arial" w:hAnsi="Arial" w:cs="Arial"/>
          <w:sz w:val="20"/>
          <w:szCs w:val="20"/>
        </w:rPr>
      </w:pPr>
      <w:r w:rsidRPr="005E2D5F">
        <w:rPr>
          <w:rFonts w:ascii="Arial" w:hAnsi="Arial" w:cs="Arial"/>
          <w:sz w:val="20"/>
          <w:szCs w:val="20"/>
        </w:rPr>
        <w:t xml:space="preserve">The first part of the calculation (the death estate) was very well answered on the </w:t>
      </w:r>
      <w:proofErr w:type="gramStart"/>
      <w:r w:rsidRPr="005E2D5F">
        <w:rPr>
          <w:rFonts w:ascii="Arial" w:hAnsi="Arial" w:cs="Arial"/>
          <w:sz w:val="20"/>
          <w:szCs w:val="20"/>
        </w:rPr>
        <w:t>whole</w:t>
      </w:r>
      <w:proofErr w:type="gramEnd"/>
      <w:r w:rsidRPr="005E2D5F">
        <w:rPr>
          <w:rFonts w:ascii="Arial" w:hAnsi="Arial" w:cs="Arial"/>
          <w:sz w:val="20"/>
          <w:szCs w:val="20"/>
        </w:rPr>
        <w:t xml:space="preserve"> but </w:t>
      </w:r>
      <w:r w:rsidR="00AD02EF" w:rsidRPr="005E2D5F">
        <w:rPr>
          <w:rFonts w:ascii="Arial" w:hAnsi="Arial" w:cs="Arial"/>
          <w:sz w:val="20"/>
          <w:szCs w:val="20"/>
        </w:rPr>
        <w:t xml:space="preserve">many candidates missed the end of the requirement and did not split out the IHT liability between the </w:t>
      </w:r>
      <w:r w:rsidR="007C478F" w:rsidRPr="005E2D5F">
        <w:rPr>
          <w:rFonts w:ascii="Arial" w:hAnsi="Arial" w:cs="Arial"/>
          <w:sz w:val="20"/>
          <w:szCs w:val="20"/>
        </w:rPr>
        <w:t>Executors and the trustees</w:t>
      </w:r>
      <w:r w:rsidR="00F73421" w:rsidRPr="005E2D5F">
        <w:rPr>
          <w:rFonts w:ascii="Arial" w:hAnsi="Arial" w:cs="Arial"/>
          <w:sz w:val="20"/>
          <w:szCs w:val="20"/>
        </w:rPr>
        <w:t>.</w:t>
      </w:r>
    </w:p>
    <w:p w14:paraId="0AE17DB1" w14:textId="77777777" w:rsidR="00AA2133" w:rsidRPr="005E2D5F" w:rsidRDefault="00AA2133" w:rsidP="00AA2133">
      <w:pPr>
        <w:rPr>
          <w:rFonts w:ascii="Arial" w:hAnsi="Arial" w:cs="Arial"/>
          <w:sz w:val="20"/>
          <w:szCs w:val="20"/>
        </w:rPr>
      </w:pPr>
    </w:p>
    <w:p w14:paraId="0A693D92" w14:textId="77777777" w:rsidR="00725C66" w:rsidRPr="005E2D5F" w:rsidRDefault="00725C66" w:rsidP="00725C66">
      <w:pPr>
        <w:rPr>
          <w:rFonts w:ascii="Arial" w:hAnsi="Arial" w:cs="Arial"/>
          <w:sz w:val="20"/>
          <w:szCs w:val="20"/>
        </w:rPr>
      </w:pPr>
    </w:p>
    <w:sectPr w:rsidR="00725C66" w:rsidRPr="005E2D5F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B6C1" w14:textId="77777777" w:rsidR="00B114B5" w:rsidRDefault="00B114B5" w:rsidP="005211FE">
      <w:pPr>
        <w:spacing w:after="0" w:line="240" w:lineRule="auto"/>
      </w:pPr>
      <w:r>
        <w:separator/>
      </w:r>
    </w:p>
  </w:endnote>
  <w:endnote w:type="continuationSeparator" w:id="0">
    <w:p w14:paraId="52CF8CB2" w14:textId="77777777" w:rsidR="00B114B5" w:rsidRDefault="00B114B5" w:rsidP="0052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1962" w14:textId="77777777" w:rsidR="00B114B5" w:rsidRDefault="00B114B5" w:rsidP="005211FE">
      <w:pPr>
        <w:spacing w:after="0" w:line="240" w:lineRule="auto"/>
      </w:pPr>
      <w:r>
        <w:separator/>
      </w:r>
    </w:p>
  </w:footnote>
  <w:footnote w:type="continuationSeparator" w:id="0">
    <w:p w14:paraId="78529157" w14:textId="77777777" w:rsidR="00B114B5" w:rsidRDefault="00B114B5" w:rsidP="0052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A6D6" w14:textId="101C6E0E" w:rsidR="006A583B" w:rsidRDefault="006A5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6D5BF" wp14:editId="08870C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24485"/>
              <wp:effectExtent l="0" t="0" r="0" b="18415"/>
              <wp:wrapNone/>
              <wp:docPr id="2116251968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FBC52" w14:textId="35A874B9" w:rsidR="006A583B" w:rsidRPr="006A583B" w:rsidRDefault="006A583B" w:rsidP="006A58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8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D5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54.1pt;margin-top:0;width:105.3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" filled="f" stroked="f">
              <v:textbox style="mso-fit-shape-to-text:t" inset="0,15pt,20pt,0">
                <w:txbxContent>
                  <w:p w14:paraId="6BBFBC52" w14:textId="35A874B9" w:rsidR="006A583B" w:rsidRPr="006A583B" w:rsidRDefault="006A583B" w:rsidP="006A58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8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4634" w14:textId="0068DB0A" w:rsidR="00D50303" w:rsidRPr="00D50303" w:rsidRDefault="006A583B" w:rsidP="00CA0E7D">
    <w:pPr>
      <w:spacing w:after="1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EA46A" wp14:editId="303E5B12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24485"/>
              <wp:effectExtent l="0" t="0" r="0" b="18415"/>
              <wp:wrapNone/>
              <wp:docPr id="1293312650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D4AEE" w14:textId="3D0A8F14" w:rsidR="006A583B" w:rsidRPr="006A583B" w:rsidRDefault="006A583B" w:rsidP="006A58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EA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54.1pt;margin-top:0;width:105.3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" filled="f" stroked="f">
              <v:textbox style="mso-fit-shape-to-text:t" inset="0,15pt,20pt,0">
                <w:txbxContent>
                  <w:p w14:paraId="3B7D4AEE" w14:textId="3D0A8F14" w:rsidR="006A583B" w:rsidRPr="006A583B" w:rsidRDefault="006A583B" w:rsidP="006A58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50303" w:rsidRPr="00D50303">
      <w:rPr>
        <w:rFonts w:ascii="Arial" w:hAnsi="Arial" w:cs="Arial"/>
        <w:b/>
        <w:bCs/>
        <w:sz w:val="20"/>
        <w:szCs w:val="20"/>
      </w:rPr>
      <w:t xml:space="preserve">ATT </w:t>
    </w:r>
    <w:r w:rsidR="00F73421">
      <w:rPr>
        <w:rFonts w:ascii="Arial" w:hAnsi="Arial" w:cs="Arial"/>
        <w:b/>
        <w:bCs/>
        <w:sz w:val="20"/>
        <w:szCs w:val="20"/>
      </w:rPr>
      <w:t>November</w:t>
    </w:r>
    <w:r w:rsidR="004E59A7">
      <w:rPr>
        <w:rFonts w:ascii="Arial" w:hAnsi="Arial" w:cs="Arial"/>
        <w:b/>
        <w:bCs/>
        <w:sz w:val="20"/>
        <w:szCs w:val="20"/>
      </w:rPr>
      <w:t xml:space="preserve"> 202</w:t>
    </w:r>
    <w:r w:rsidR="00F73421">
      <w:rPr>
        <w:rFonts w:ascii="Arial" w:hAnsi="Arial" w:cs="Arial"/>
        <w:b/>
        <w:bCs/>
        <w:sz w:val="20"/>
        <w:szCs w:val="20"/>
      </w:rPr>
      <w:t>5</w:t>
    </w:r>
  </w:p>
  <w:p w14:paraId="25DF0612" w14:textId="5B100123" w:rsidR="00D50303" w:rsidRPr="00D50303" w:rsidRDefault="00DB393F" w:rsidP="00CA0E7D">
    <w:pPr>
      <w:spacing w:after="120"/>
      <w:rPr>
        <w:rFonts w:ascii="Arial" w:hAnsi="Arial" w:cs="Arial"/>
        <w:b/>
        <w:bCs/>
        <w:color w:val="FF0000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Paper 5: Inheritance Tax, Trusts &amp; Estates</w:t>
    </w:r>
  </w:p>
  <w:p w14:paraId="4A1C3E7C" w14:textId="6094D2D2" w:rsidR="005211FE" w:rsidRDefault="00D50303" w:rsidP="00CA0E7D">
    <w:pPr>
      <w:spacing w:after="120"/>
    </w:pPr>
    <w:r w:rsidRPr="00D50303">
      <w:rPr>
        <w:rFonts w:ascii="Arial" w:hAnsi="Arial" w:cs="Arial"/>
        <w:b/>
        <w:bCs/>
        <w:sz w:val="20"/>
        <w:szCs w:val="20"/>
      </w:rPr>
      <w:t>Examiners’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1D35" w14:textId="0F039D8E" w:rsidR="006A583B" w:rsidRDefault="006A5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C009E9" wp14:editId="50F507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37310" cy="324485"/>
              <wp:effectExtent l="0" t="0" r="0" b="18415"/>
              <wp:wrapNone/>
              <wp:docPr id="1039115600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A3FBA" w14:textId="25BBAEB2" w:rsidR="006A583B" w:rsidRPr="006A583B" w:rsidRDefault="006A583B" w:rsidP="006A58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8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00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mercial in Confidence" style="position:absolute;margin-left:54.1pt;margin-top:0;width:105.3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" filled="f" stroked="f">
              <v:textbox style="mso-fit-shape-to-text:t" inset="0,15pt,20pt,0">
                <w:txbxContent>
                  <w:p w14:paraId="6F8A3FBA" w14:textId="25BBAEB2" w:rsidR="006A583B" w:rsidRPr="006A583B" w:rsidRDefault="006A583B" w:rsidP="006A58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8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E"/>
    <w:rsid w:val="0002093B"/>
    <w:rsid w:val="00073076"/>
    <w:rsid w:val="000A1184"/>
    <w:rsid w:val="000A516E"/>
    <w:rsid w:val="0011026A"/>
    <w:rsid w:val="00145D08"/>
    <w:rsid w:val="00152E06"/>
    <w:rsid w:val="00165542"/>
    <w:rsid w:val="001B6911"/>
    <w:rsid w:val="001C3BA3"/>
    <w:rsid w:val="001F155A"/>
    <w:rsid w:val="00254C59"/>
    <w:rsid w:val="00284861"/>
    <w:rsid w:val="00285AD0"/>
    <w:rsid w:val="002B2BB4"/>
    <w:rsid w:val="002C2540"/>
    <w:rsid w:val="00333E37"/>
    <w:rsid w:val="003452F2"/>
    <w:rsid w:val="003732EE"/>
    <w:rsid w:val="00390FA7"/>
    <w:rsid w:val="003F5345"/>
    <w:rsid w:val="00417D66"/>
    <w:rsid w:val="00432C34"/>
    <w:rsid w:val="0048330B"/>
    <w:rsid w:val="004908E8"/>
    <w:rsid w:val="004B589C"/>
    <w:rsid w:val="004B7AE4"/>
    <w:rsid w:val="004E08B3"/>
    <w:rsid w:val="004E59A7"/>
    <w:rsid w:val="005211FE"/>
    <w:rsid w:val="00526732"/>
    <w:rsid w:val="0055544D"/>
    <w:rsid w:val="00556F24"/>
    <w:rsid w:val="00566BDA"/>
    <w:rsid w:val="005C3B7D"/>
    <w:rsid w:val="005E2D5F"/>
    <w:rsid w:val="005F33DC"/>
    <w:rsid w:val="0067099B"/>
    <w:rsid w:val="00681485"/>
    <w:rsid w:val="0068332B"/>
    <w:rsid w:val="006A583B"/>
    <w:rsid w:val="00725C66"/>
    <w:rsid w:val="00741D53"/>
    <w:rsid w:val="007C3CAD"/>
    <w:rsid w:val="007C478F"/>
    <w:rsid w:val="007C77D7"/>
    <w:rsid w:val="007F4CF9"/>
    <w:rsid w:val="007F61E4"/>
    <w:rsid w:val="0084490F"/>
    <w:rsid w:val="00853131"/>
    <w:rsid w:val="008A17EA"/>
    <w:rsid w:val="008A3A19"/>
    <w:rsid w:val="008E14AA"/>
    <w:rsid w:val="00950523"/>
    <w:rsid w:val="009653F5"/>
    <w:rsid w:val="00972C04"/>
    <w:rsid w:val="00994D6B"/>
    <w:rsid w:val="009B6D05"/>
    <w:rsid w:val="00A21860"/>
    <w:rsid w:val="00A808C2"/>
    <w:rsid w:val="00AA2133"/>
    <w:rsid w:val="00AC3A5E"/>
    <w:rsid w:val="00AD02EF"/>
    <w:rsid w:val="00B03680"/>
    <w:rsid w:val="00B05241"/>
    <w:rsid w:val="00B114B5"/>
    <w:rsid w:val="00B219A6"/>
    <w:rsid w:val="00B3390B"/>
    <w:rsid w:val="00B67BD8"/>
    <w:rsid w:val="00B71072"/>
    <w:rsid w:val="00B8396B"/>
    <w:rsid w:val="00BC7077"/>
    <w:rsid w:val="00BC7371"/>
    <w:rsid w:val="00BE7241"/>
    <w:rsid w:val="00C30C63"/>
    <w:rsid w:val="00CA0E7D"/>
    <w:rsid w:val="00D22396"/>
    <w:rsid w:val="00D50303"/>
    <w:rsid w:val="00D62B22"/>
    <w:rsid w:val="00D700EC"/>
    <w:rsid w:val="00D77146"/>
    <w:rsid w:val="00DB393F"/>
    <w:rsid w:val="00DE4BE4"/>
    <w:rsid w:val="00E004B9"/>
    <w:rsid w:val="00EE6E2B"/>
    <w:rsid w:val="00F01A2A"/>
    <w:rsid w:val="00F73421"/>
    <w:rsid w:val="00FB69B8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2A0EF"/>
  <w15:chartTrackingRefBased/>
  <w15:docId w15:val="{A577BF92-3C6C-4049-9502-AFB3D757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FE"/>
  </w:style>
  <w:style w:type="paragraph" w:styleId="Footer">
    <w:name w:val="footer"/>
    <w:basedOn w:val="Normal"/>
    <w:link w:val="FooterChar"/>
    <w:uiPriority w:val="99"/>
    <w:unhideWhenUsed/>
    <w:rsid w:val="00521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FE"/>
  </w:style>
  <w:style w:type="paragraph" w:styleId="Revision">
    <w:name w:val="Revision"/>
    <w:hidden/>
    <w:uiPriority w:val="99"/>
    <w:semiHidden/>
    <w:rsid w:val="00B03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Props1.xml><?xml version="1.0" encoding="utf-8"?>
<ds:datastoreItem xmlns:ds="http://schemas.openxmlformats.org/officeDocument/2006/customXml" ds:itemID="{9214E349-D347-4A98-82C9-B551ACC4FBFF}"/>
</file>

<file path=customXml/itemProps2.xml><?xml version="1.0" encoding="utf-8"?>
<ds:datastoreItem xmlns:ds="http://schemas.openxmlformats.org/officeDocument/2006/customXml" ds:itemID="{66AF9868-3C01-4394-A57D-60F506873374}"/>
</file>

<file path=customXml/itemProps3.xml><?xml version="1.0" encoding="utf-8"?>
<ds:datastoreItem xmlns:ds="http://schemas.openxmlformats.org/officeDocument/2006/customXml" ds:itemID="{1A144A8E-44FD-4A11-A099-C0D0BC9E8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701</Words>
  <Characters>3535</Characters>
  <Application>Microsoft Office Word</Application>
  <DocSecurity>0</DocSecurity>
  <Lines>110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Stainton</dc:creator>
  <cp:keywords/>
  <dc:description/>
  <cp:lastModifiedBy>Helen Stainton</cp:lastModifiedBy>
  <cp:revision>5</cp:revision>
  <dcterms:created xsi:type="dcterms:W3CDTF">2025-12-03T14:50:00Z</dcterms:created>
  <dcterms:modified xsi:type="dcterms:W3CDTF">2025-12-04T12:07:00Z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3defa550,7e237140,4d16628a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MSIP_Label_4188c733-ee34-4236-a60b-d6f9a28bb31e_Enabled">
    <vt:lpwstr>true</vt:lpwstr>
  </property>
  <property fmtid="{D5CDD505-2E9C-101B-9397-08002B2CF9AE}" pid="6" name="MSIP_Label_4188c733-ee34-4236-a60b-d6f9a28bb31e_SetDate">
    <vt:lpwstr>2025-05-16T15:28:12Z</vt:lpwstr>
  </property>
  <property fmtid="{D5CDD505-2E9C-101B-9397-08002B2CF9AE}" pid="7" name="MSIP_Label_4188c733-ee34-4236-a60b-d6f9a28bb31e_Method">
    <vt:lpwstr>Standard</vt:lpwstr>
  </property>
  <property fmtid="{D5CDD505-2E9C-101B-9397-08002B2CF9AE}" pid="8" name="MSIP_Label_4188c733-ee34-4236-a60b-d6f9a28bb31e_Name">
    <vt:lpwstr>Commercial in ConfidenceV2</vt:lpwstr>
  </property>
  <property fmtid="{D5CDD505-2E9C-101B-9397-08002B2CF9AE}" pid="9" name="MSIP_Label_4188c733-ee34-4236-a60b-d6f9a28bb31e_SiteId">
    <vt:lpwstr>b723253f-7281-4adc-bc1c-fc9ef3674d78</vt:lpwstr>
  </property>
  <property fmtid="{D5CDD505-2E9C-101B-9397-08002B2CF9AE}" pid="10" name="MSIP_Label_4188c733-ee34-4236-a60b-d6f9a28bb31e_ActionId">
    <vt:lpwstr>e42ba091-9b4e-463d-bf8f-93a758dfe09e</vt:lpwstr>
  </property>
  <property fmtid="{D5CDD505-2E9C-101B-9397-08002B2CF9AE}" pid="11" name="MSIP_Label_4188c733-ee34-4236-a60b-d6f9a28bb31e_ContentBits">
    <vt:lpwstr>1</vt:lpwstr>
  </property>
  <property fmtid="{D5CDD505-2E9C-101B-9397-08002B2CF9AE}" pid="12" name="MSIP_Label_4188c733-ee34-4236-a60b-d6f9a28bb31e_Tag">
    <vt:lpwstr>10, 3, 0, 1</vt:lpwstr>
  </property>
  <property fmtid="{D5CDD505-2E9C-101B-9397-08002B2CF9AE}" pid="13" name="ContentTypeId">
    <vt:lpwstr>0x01010011BB2E46AF2E0141B46652E03C512568</vt:lpwstr>
  </property>
</Properties>
</file>