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CBB4" w14:textId="391C2516" w:rsidR="006000F8" w:rsidRPr="006000F8" w:rsidRDefault="006000F8" w:rsidP="00DC4E19">
      <w:pPr>
        <w:rPr>
          <w:rFonts w:ascii="Arial" w:hAnsi="Arial" w:cs="Arial"/>
          <w:b/>
          <w:bCs/>
          <w:sz w:val="20"/>
          <w:szCs w:val="20"/>
        </w:rPr>
      </w:pPr>
      <w:r w:rsidRPr="006000F8">
        <w:rPr>
          <w:rFonts w:ascii="Arial" w:hAnsi="Arial" w:cs="Arial"/>
          <w:b/>
          <w:bCs/>
          <w:sz w:val="20"/>
          <w:szCs w:val="20"/>
        </w:rPr>
        <w:t>General comments</w:t>
      </w:r>
    </w:p>
    <w:p w14:paraId="1D759F35" w14:textId="446966C1" w:rsidR="006000F8" w:rsidRPr="00534BD5" w:rsidRDefault="006000F8" w:rsidP="006000F8">
      <w:pPr>
        <w:rPr>
          <w:rFonts w:ascii="Arial" w:hAnsi="Arial" w:cs="Arial"/>
          <w:sz w:val="20"/>
          <w:szCs w:val="20"/>
        </w:rPr>
      </w:pPr>
      <w:r w:rsidRPr="00534BD5">
        <w:rPr>
          <w:rFonts w:ascii="Arial" w:hAnsi="Arial" w:cs="Arial"/>
          <w:sz w:val="20"/>
          <w:szCs w:val="20"/>
        </w:rPr>
        <w:t xml:space="preserve">Overall, candidates performed well.  The well prepared candidates scored highly.  </w:t>
      </w:r>
    </w:p>
    <w:p w14:paraId="0E1D84A0" w14:textId="77777777" w:rsidR="006000F8" w:rsidRDefault="006000F8" w:rsidP="00DC4E19">
      <w:pPr>
        <w:rPr>
          <w:rFonts w:ascii="Arial" w:hAnsi="Arial" w:cs="Arial"/>
          <w:sz w:val="20"/>
          <w:szCs w:val="20"/>
        </w:rPr>
      </w:pPr>
    </w:p>
    <w:p w14:paraId="3C3AF714" w14:textId="125E7B28" w:rsidR="00DC4E19" w:rsidRPr="00534BD5" w:rsidRDefault="00DC4E19" w:rsidP="00DC4E19">
      <w:pPr>
        <w:rPr>
          <w:rFonts w:ascii="Arial" w:hAnsi="Arial" w:cs="Arial"/>
          <w:sz w:val="20"/>
          <w:szCs w:val="20"/>
        </w:rPr>
      </w:pPr>
      <w:r w:rsidRPr="00534BD5">
        <w:rPr>
          <w:rFonts w:ascii="Arial" w:hAnsi="Arial" w:cs="Arial"/>
          <w:sz w:val="20"/>
          <w:szCs w:val="20"/>
        </w:rPr>
        <w:t>Question 1</w:t>
      </w:r>
    </w:p>
    <w:p w14:paraId="7180EA3F" w14:textId="77777777"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Part 1</w:t>
      </w:r>
    </w:p>
    <w:p w14:paraId="1F14F025"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t>Most candidates made a good attempt at this part with detailed explanation on the operation of the apportionment scheme.  Many candidates did not mention that the point of sale scheme ensured the correct liability was calculated at the time of sale.  They also thought that it could only be used if the business was selling goods which all had the same VAT rate.</w:t>
      </w:r>
    </w:p>
    <w:p w14:paraId="7E60D40B" w14:textId="4E032E27" w:rsidR="006000F8" w:rsidRPr="006000F8" w:rsidRDefault="006000F8" w:rsidP="006000F8">
      <w:pPr>
        <w:rPr>
          <w:rFonts w:ascii="Arial" w:hAnsi="Arial" w:cs="Arial"/>
          <w:sz w:val="20"/>
          <w:szCs w:val="20"/>
          <w:u w:val="single"/>
        </w:rPr>
      </w:pPr>
      <w:r w:rsidRPr="006000F8">
        <w:rPr>
          <w:rFonts w:ascii="Arial" w:hAnsi="Arial" w:cs="Arial"/>
          <w:sz w:val="20"/>
          <w:szCs w:val="20"/>
          <w:u w:val="single"/>
        </w:rPr>
        <w:t xml:space="preserve">Part </w:t>
      </w:r>
      <w:r>
        <w:rPr>
          <w:rFonts w:ascii="Arial" w:hAnsi="Arial" w:cs="Arial"/>
          <w:sz w:val="20"/>
          <w:szCs w:val="20"/>
          <w:u w:val="single"/>
        </w:rPr>
        <w:t>2</w:t>
      </w:r>
    </w:p>
    <w:p w14:paraId="014D7810"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t>The poorer answers could not distinguish between the VAT exclusive and VAT inclusive amounts and so there were some inaccurate calculations.  Many candidates also incorrectly calculated input VAT either by not including overheads or by only including overheads and ignoring completely the VAT on cost of goods purchased.</w:t>
      </w:r>
    </w:p>
    <w:p w14:paraId="3E39CD8F" w14:textId="23CCD9FC" w:rsidR="006000F8" w:rsidRPr="006000F8" w:rsidRDefault="006000F8" w:rsidP="006000F8">
      <w:pPr>
        <w:rPr>
          <w:rFonts w:ascii="Arial" w:hAnsi="Arial" w:cs="Arial"/>
          <w:sz w:val="20"/>
          <w:szCs w:val="20"/>
          <w:u w:val="single"/>
        </w:rPr>
      </w:pPr>
      <w:r w:rsidRPr="006000F8">
        <w:rPr>
          <w:rFonts w:ascii="Arial" w:hAnsi="Arial" w:cs="Arial"/>
          <w:sz w:val="20"/>
          <w:szCs w:val="20"/>
          <w:u w:val="single"/>
        </w:rPr>
        <w:t xml:space="preserve">Part </w:t>
      </w:r>
      <w:r>
        <w:rPr>
          <w:rFonts w:ascii="Arial" w:hAnsi="Arial" w:cs="Arial"/>
          <w:sz w:val="20"/>
          <w:szCs w:val="20"/>
          <w:u w:val="single"/>
        </w:rPr>
        <w:t>3</w:t>
      </w:r>
    </w:p>
    <w:p w14:paraId="1403AF45"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t>This part was done quite poorly and a significant number of candidates discussed PII and managing conflicts of interest which is not what the question was about.  Those that made sensible points such as excluding liability in the engagement letter and communicating this with clients were awarded good marks.</w:t>
      </w:r>
    </w:p>
    <w:p w14:paraId="696F5A07" w14:textId="3D00A6D9" w:rsidR="006000F8" w:rsidRPr="006000F8" w:rsidRDefault="006000F8" w:rsidP="006000F8">
      <w:pPr>
        <w:rPr>
          <w:rFonts w:ascii="Arial" w:hAnsi="Arial" w:cs="Arial"/>
          <w:sz w:val="20"/>
          <w:szCs w:val="20"/>
          <w:u w:val="single"/>
        </w:rPr>
      </w:pPr>
      <w:r w:rsidRPr="006000F8">
        <w:rPr>
          <w:rFonts w:ascii="Arial" w:hAnsi="Arial" w:cs="Arial"/>
          <w:sz w:val="20"/>
          <w:szCs w:val="20"/>
          <w:u w:val="single"/>
        </w:rPr>
        <w:t xml:space="preserve">Part </w:t>
      </w:r>
      <w:r>
        <w:rPr>
          <w:rFonts w:ascii="Arial" w:hAnsi="Arial" w:cs="Arial"/>
          <w:sz w:val="20"/>
          <w:szCs w:val="20"/>
          <w:u w:val="single"/>
        </w:rPr>
        <w:t>4</w:t>
      </w:r>
    </w:p>
    <w:p w14:paraId="6C67990C"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t>A number of candidates scored full marks on this and found it straightforward.  A small number made some errors in the final calculation of tax month 3 by not deducting the £50 from month 1 and only dealing with the £400 from month 2.</w:t>
      </w:r>
    </w:p>
    <w:p w14:paraId="4A973090" w14:textId="58D1D311" w:rsidR="006000F8" w:rsidRPr="006000F8" w:rsidRDefault="006000F8" w:rsidP="006000F8">
      <w:pPr>
        <w:rPr>
          <w:rFonts w:ascii="Arial" w:hAnsi="Arial" w:cs="Arial"/>
          <w:sz w:val="20"/>
          <w:szCs w:val="20"/>
          <w:u w:val="single"/>
        </w:rPr>
      </w:pPr>
      <w:r w:rsidRPr="006000F8">
        <w:rPr>
          <w:rFonts w:ascii="Arial" w:hAnsi="Arial" w:cs="Arial"/>
          <w:sz w:val="20"/>
          <w:szCs w:val="20"/>
          <w:u w:val="single"/>
        </w:rPr>
        <w:t xml:space="preserve">Part </w:t>
      </w:r>
      <w:r>
        <w:rPr>
          <w:rFonts w:ascii="Arial" w:hAnsi="Arial" w:cs="Arial"/>
          <w:sz w:val="20"/>
          <w:szCs w:val="20"/>
          <w:u w:val="single"/>
        </w:rPr>
        <w:t>5</w:t>
      </w:r>
    </w:p>
    <w:p w14:paraId="5D67426D" w14:textId="2229011F" w:rsidR="00DC4E19" w:rsidRPr="00534BD5" w:rsidRDefault="00762683" w:rsidP="006000F8">
      <w:pPr>
        <w:pStyle w:val="ListParagraph"/>
        <w:spacing w:line="278" w:lineRule="auto"/>
        <w:ind w:left="0"/>
        <w:rPr>
          <w:rFonts w:ascii="Arial" w:hAnsi="Arial" w:cs="Arial"/>
          <w:sz w:val="20"/>
          <w:szCs w:val="20"/>
        </w:rPr>
      </w:pPr>
      <w:r>
        <w:rPr>
          <w:rFonts w:ascii="Arial" w:hAnsi="Arial" w:cs="Arial"/>
          <w:sz w:val="20"/>
          <w:szCs w:val="20"/>
        </w:rPr>
        <w:t>Some candidates produced</w:t>
      </w:r>
      <w:r w:rsidR="00DC4E19" w:rsidRPr="00534BD5">
        <w:rPr>
          <w:rFonts w:ascii="Arial" w:hAnsi="Arial" w:cs="Arial"/>
          <w:sz w:val="20"/>
          <w:szCs w:val="20"/>
        </w:rPr>
        <w:t xml:space="preserve"> high quality answers in this part.  The weaker candidates discussed the common penalty regime and behaviour related penalties instead of focussing on the specifics from within the scenario.</w:t>
      </w:r>
    </w:p>
    <w:p w14:paraId="16A5BF9C" w14:textId="77777777" w:rsidR="006000F8" w:rsidRDefault="006000F8" w:rsidP="00DC4E19">
      <w:pPr>
        <w:rPr>
          <w:rFonts w:ascii="Arial" w:hAnsi="Arial" w:cs="Arial"/>
          <w:sz w:val="20"/>
          <w:szCs w:val="20"/>
        </w:rPr>
      </w:pPr>
    </w:p>
    <w:p w14:paraId="5D6C48C1" w14:textId="7CFD25F2" w:rsidR="00DC4E19" w:rsidRDefault="00DC4E19" w:rsidP="00DC4E19">
      <w:pPr>
        <w:rPr>
          <w:rFonts w:ascii="Arial" w:hAnsi="Arial" w:cs="Arial"/>
          <w:sz w:val="20"/>
          <w:szCs w:val="20"/>
        </w:rPr>
      </w:pPr>
      <w:r w:rsidRPr="00534BD5">
        <w:rPr>
          <w:rFonts w:ascii="Arial" w:hAnsi="Arial" w:cs="Arial"/>
          <w:sz w:val="20"/>
          <w:szCs w:val="20"/>
        </w:rPr>
        <w:t>Question 2</w:t>
      </w:r>
    </w:p>
    <w:p w14:paraId="6B759872" w14:textId="77777777"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Part 1</w:t>
      </w:r>
    </w:p>
    <w:p w14:paraId="1E30094E"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t>This was done very well by most.  Some candidates got a little muddled and thought that exports were standard rated.  Where full marks were not awarded it was because candidates had failed to explain the reverse charge provision in full.</w:t>
      </w:r>
    </w:p>
    <w:p w14:paraId="74C26B86" w14:textId="5E5639FF" w:rsidR="006000F8" w:rsidRPr="006000F8" w:rsidRDefault="006000F8" w:rsidP="006000F8">
      <w:pPr>
        <w:rPr>
          <w:rFonts w:ascii="Arial" w:hAnsi="Arial" w:cs="Arial"/>
          <w:sz w:val="20"/>
          <w:szCs w:val="20"/>
          <w:u w:val="single"/>
        </w:rPr>
      </w:pPr>
      <w:r w:rsidRPr="006000F8">
        <w:rPr>
          <w:rFonts w:ascii="Arial" w:hAnsi="Arial" w:cs="Arial"/>
          <w:sz w:val="20"/>
          <w:szCs w:val="20"/>
          <w:u w:val="single"/>
        </w:rPr>
        <w:t xml:space="preserve">Part </w:t>
      </w:r>
      <w:r>
        <w:rPr>
          <w:rFonts w:ascii="Arial" w:hAnsi="Arial" w:cs="Arial"/>
          <w:sz w:val="20"/>
          <w:szCs w:val="20"/>
          <w:u w:val="single"/>
        </w:rPr>
        <w:t>2</w:t>
      </w:r>
    </w:p>
    <w:p w14:paraId="33E1AC1C"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t>Candidates dealt well with the PENP element.  Some candidates did not deal with the car or mobile phone correctly and others failed to reduce the £30,000 exemption but a good level of competence was shown in this part.</w:t>
      </w:r>
    </w:p>
    <w:p w14:paraId="6369808F" w14:textId="3BA854D8" w:rsidR="006000F8" w:rsidRPr="006000F8" w:rsidRDefault="006000F8" w:rsidP="006000F8">
      <w:pPr>
        <w:rPr>
          <w:rFonts w:ascii="Arial" w:hAnsi="Arial" w:cs="Arial"/>
          <w:sz w:val="20"/>
          <w:szCs w:val="20"/>
          <w:u w:val="single"/>
        </w:rPr>
      </w:pPr>
      <w:r w:rsidRPr="006000F8">
        <w:rPr>
          <w:rFonts w:ascii="Arial" w:hAnsi="Arial" w:cs="Arial"/>
          <w:sz w:val="20"/>
          <w:szCs w:val="20"/>
          <w:u w:val="single"/>
        </w:rPr>
        <w:t xml:space="preserve">Part </w:t>
      </w:r>
      <w:r>
        <w:rPr>
          <w:rFonts w:ascii="Arial" w:hAnsi="Arial" w:cs="Arial"/>
          <w:sz w:val="20"/>
          <w:szCs w:val="20"/>
          <w:u w:val="single"/>
        </w:rPr>
        <w:t>3</w:t>
      </w:r>
    </w:p>
    <w:p w14:paraId="73947F8B" w14:textId="77777777" w:rsidR="00DC4E19" w:rsidRDefault="00DC4E19" w:rsidP="006000F8">
      <w:pPr>
        <w:pStyle w:val="ListParagraph"/>
        <w:spacing w:line="278" w:lineRule="auto"/>
        <w:ind w:left="0"/>
        <w:rPr>
          <w:rFonts w:ascii="Arial" w:hAnsi="Arial" w:cs="Arial"/>
          <w:sz w:val="20"/>
          <w:szCs w:val="20"/>
        </w:rPr>
      </w:pPr>
      <w:r w:rsidRPr="00534BD5">
        <w:rPr>
          <w:rFonts w:ascii="Arial" w:hAnsi="Arial" w:cs="Arial"/>
          <w:sz w:val="20"/>
          <w:szCs w:val="20"/>
        </w:rPr>
        <w:lastRenderedPageBreak/>
        <w:t>Some candidates did not identify that the question required them to discuss Transfer of Going Concern.  A high number that did just wrote down some of the conditions and did not apply them to the scenario at all.</w:t>
      </w:r>
    </w:p>
    <w:p w14:paraId="7A8DAFFD" w14:textId="77777777" w:rsidR="006000F8" w:rsidRPr="00534BD5" w:rsidRDefault="006000F8" w:rsidP="006000F8">
      <w:pPr>
        <w:pStyle w:val="ListParagraph"/>
        <w:spacing w:line="278" w:lineRule="auto"/>
        <w:ind w:left="0"/>
        <w:rPr>
          <w:rFonts w:ascii="Arial" w:hAnsi="Arial" w:cs="Arial"/>
          <w:sz w:val="20"/>
          <w:szCs w:val="20"/>
        </w:rPr>
      </w:pPr>
    </w:p>
    <w:p w14:paraId="22EDDB61" w14:textId="77777777" w:rsidR="00DC4E19" w:rsidRPr="00534BD5" w:rsidRDefault="00DC4E19" w:rsidP="00DC4E19">
      <w:pPr>
        <w:rPr>
          <w:rFonts w:ascii="Arial" w:hAnsi="Arial" w:cs="Arial"/>
          <w:sz w:val="20"/>
          <w:szCs w:val="20"/>
        </w:rPr>
      </w:pPr>
      <w:r w:rsidRPr="00534BD5">
        <w:rPr>
          <w:rFonts w:ascii="Arial" w:hAnsi="Arial" w:cs="Arial"/>
          <w:sz w:val="20"/>
          <w:szCs w:val="20"/>
        </w:rPr>
        <w:t>Question 3</w:t>
      </w:r>
    </w:p>
    <w:p w14:paraId="676807BE" w14:textId="77777777"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Part 1</w:t>
      </w:r>
    </w:p>
    <w:p w14:paraId="1A05D0A9" w14:textId="77777777" w:rsidR="00DC4E19" w:rsidRPr="006000F8" w:rsidRDefault="00DC4E19" w:rsidP="006000F8">
      <w:pPr>
        <w:spacing w:line="278" w:lineRule="auto"/>
        <w:rPr>
          <w:rFonts w:ascii="Arial" w:hAnsi="Arial" w:cs="Arial"/>
          <w:sz w:val="20"/>
          <w:szCs w:val="20"/>
        </w:rPr>
      </w:pPr>
      <w:r w:rsidRPr="006000F8">
        <w:rPr>
          <w:rFonts w:ascii="Arial" w:hAnsi="Arial" w:cs="Arial"/>
          <w:sz w:val="20"/>
          <w:szCs w:val="20"/>
        </w:rPr>
        <w:t>This part was done very well by most.  Some candidates didn’t consider the question fully from the firm’s perspective and instead just defined conflict of interest and how this had arisen.</w:t>
      </w:r>
    </w:p>
    <w:p w14:paraId="4D23E39D" w14:textId="4A6C5DEB"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 xml:space="preserve">Part </w:t>
      </w:r>
      <w:r>
        <w:rPr>
          <w:rFonts w:ascii="Arial" w:hAnsi="Arial" w:cs="Arial"/>
          <w:sz w:val="20"/>
          <w:szCs w:val="20"/>
          <w:u w:val="single"/>
        </w:rPr>
        <w:t>2</w:t>
      </w:r>
    </w:p>
    <w:p w14:paraId="6C22B49D" w14:textId="77777777" w:rsidR="00DC4E19" w:rsidRPr="006000F8" w:rsidRDefault="00DC4E19" w:rsidP="006000F8">
      <w:pPr>
        <w:spacing w:line="278" w:lineRule="auto"/>
        <w:rPr>
          <w:rFonts w:ascii="Arial" w:hAnsi="Arial" w:cs="Arial"/>
          <w:sz w:val="20"/>
          <w:szCs w:val="20"/>
        </w:rPr>
      </w:pPr>
      <w:r w:rsidRPr="006000F8">
        <w:rPr>
          <w:rFonts w:ascii="Arial" w:hAnsi="Arial" w:cs="Arial"/>
          <w:sz w:val="20"/>
          <w:szCs w:val="20"/>
        </w:rPr>
        <w:t>Some errors were made in identifying the accounting periods with the poorer scoring answers thinking that 1 November 2024 was the end date of the new accounting period.  Calculations were for the most part very accurate but with some minor errors such as taxing the augmented profit amount or leaving the dividend out of the marginal relief calculation completely.</w:t>
      </w:r>
    </w:p>
    <w:p w14:paraId="2156C753" w14:textId="65F3233E"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 xml:space="preserve">Part </w:t>
      </w:r>
      <w:r>
        <w:rPr>
          <w:rFonts w:ascii="Arial" w:hAnsi="Arial" w:cs="Arial"/>
          <w:sz w:val="20"/>
          <w:szCs w:val="20"/>
          <w:u w:val="single"/>
        </w:rPr>
        <w:t>3</w:t>
      </w:r>
    </w:p>
    <w:p w14:paraId="0A77E758" w14:textId="77777777" w:rsidR="00DC4E19" w:rsidRPr="006000F8" w:rsidRDefault="00DC4E19" w:rsidP="006000F8">
      <w:pPr>
        <w:spacing w:line="278" w:lineRule="auto"/>
        <w:rPr>
          <w:rFonts w:ascii="Arial" w:hAnsi="Arial" w:cs="Arial"/>
          <w:sz w:val="20"/>
          <w:szCs w:val="20"/>
        </w:rPr>
      </w:pPr>
      <w:r w:rsidRPr="006000F8">
        <w:rPr>
          <w:rFonts w:ascii="Arial" w:hAnsi="Arial" w:cs="Arial"/>
          <w:sz w:val="20"/>
          <w:szCs w:val="20"/>
        </w:rPr>
        <w:t>Surprisingly a number of candidates did not explain that despite there being two accounting periods, there is only one filing date and so 31 December 2025 and 31 March 2026 were identified separately.</w:t>
      </w:r>
    </w:p>
    <w:p w14:paraId="67DFAF91" w14:textId="5D75D95F"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 xml:space="preserve">Part </w:t>
      </w:r>
      <w:r>
        <w:rPr>
          <w:rFonts w:ascii="Arial" w:hAnsi="Arial" w:cs="Arial"/>
          <w:sz w:val="20"/>
          <w:szCs w:val="20"/>
          <w:u w:val="single"/>
        </w:rPr>
        <w:t>4</w:t>
      </w:r>
    </w:p>
    <w:p w14:paraId="34F2DBA2" w14:textId="77777777" w:rsidR="00DC4E19" w:rsidRPr="006000F8" w:rsidRDefault="00DC4E19" w:rsidP="006000F8">
      <w:pPr>
        <w:spacing w:line="278" w:lineRule="auto"/>
        <w:rPr>
          <w:rFonts w:ascii="Arial" w:hAnsi="Arial" w:cs="Arial"/>
          <w:sz w:val="20"/>
          <w:szCs w:val="20"/>
        </w:rPr>
      </w:pPr>
      <w:r w:rsidRPr="006000F8">
        <w:rPr>
          <w:rFonts w:ascii="Arial" w:hAnsi="Arial" w:cs="Arial"/>
          <w:sz w:val="20"/>
          <w:szCs w:val="20"/>
        </w:rPr>
        <w:t>Candidates who identified and explained the benefits of the cash accounting scheme were awarded full marks.  Some candidates described every VAT scheme they could demonstrating a lack of application skills.</w:t>
      </w:r>
    </w:p>
    <w:p w14:paraId="62C67808" w14:textId="2155869D" w:rsidR="006000F8" w:rsidRPr="0010616D" w:rsidRDefault="006000F8" w:rsidP="006000F8">
      <w:pPr>
        <w:rPr>
          <w:rFonts w:ascii="Arial" w:hAnsi="Arial" w:cs="Arial"/>
          <w:sz w:val="20"/>
          <w:szCs w:val="20"/>
          <w:u w:val="single"/>
        </w:rPr>
      </w:pPr>
      <w:r w:rsidRPr="0010616D">
        <w:rPr>
          <w:rFonts w:ascii="Arial" w:hAnsi="Arial" w:cs="Arial"/>
          <w:sz w:val="20"/>
          <w:szCs w:val="20"/>
          <w:u w:val="single"/>
        </w:rPr>
        <w:t xml:space="preserve">Part </w:t>
      </w:r>
      <w:r>
        <w:rPr>
          <w:rFonts w:ascii="Arial" w:hAnsi="Arial" w:cs="Arial"/>
          <w:sz w:val="20"/>
          <w:szCs w:val="20"/>
          <w:u w:val="single"/>
        </w:rPr>
        <w:t>5</w:t>
      </w:r>
    </w:p>
    <w:p w14:paraId="63E0A653" w14:textId="77777777" w:rsidR="00DC4E19" w:rsidRPr="006000F8" w:rsidRDefault="00DC4E19" w:rsidP="006000F8">
      <w:pPr>
        <w:spacing w:line="278" w:lineRule="auto"/>
        <w:rPr>
          <w:rFonts w:ascii="Arial" w:hAnsi="Arial" w:cs="Arial"/>
          <w:sz w:val="20"/>
          <w:szCs w:val="20"/>
        </w:rPr>
      </w:pPr>
      <w:r w:rsidRPr="006000F8">
        <w:rPr>
          <w:rFonts w:ascii="Arial" w:hAnsi="Arial" w:cs="Arial"/>
          <w:sz w:val="20"/>
          <w:szCs w:val="20"/>
        </w:rPr>
        <w:t>Candidates often got to £75 for Jamie and £30 for Ahmed but then failed to calculate the VAT element.</w:t>
      </w:r>
    </w:p>
    <w:p w14:paraId="7E2705BB" w14:textId="7863A1F7" w:rsidR="00AA2133" w:rsidRPr="00D50303" w:rsidRDefault="000B1630" w:rsidP="00AA2133">
      <w:pPr>
        <w:rPr>
          <w:rFonts w:ascii="Arial" w:hAnsi="Arial" w:cs="Arial"/>
          <w:color w:val="4472C4" w:themeColor="accent1"/>
          <w:sz w:val="20"/>
          <w:szCs w:val="20"/>
        </w:rPr>
      </w:pPr>
      <w:r>
        <w:rPr>
          <w:rFonts w:ascii="Arial" w:hAnsi="Arial" w:cs="Arial"/>
          <w:b/>
          <w:bCs/>
          <w:sz w:val="20"/>
          <w:szCs w:val="20"/>
        </w:rPr>
        <w:t>Q</w:t>
      </w:r>
      <w:r w:rsidR="00AA2133" w:rsidRPr="00D50303">
        <w:rPr>
          <w:rFonts w:ascii="Arial" w:hAnsi="Arial" w:cs="Arial"/>
          <w:b/>
          <w:bCs/>
          <w:sz w:val="20"/>
          <w:szCs w:val="20"/>
        </w:rPr>
        <w:t xml:space="preserve">uestion </w:t>
      </w:r>
      <w:r>
        <w:rPr>
          <w:rFonts w:ascii="Arial" w:hAnsi="Arial" w:cs="Arial"/>
          <w:b/>
          <w:bCs/>
          <w:sz w:val="20"/>
          <w:szCs w:val="20"/>
        </w:rPr>
        <w:t>4</w:t>
      </w:r>
    </w:p>
    <w:p w14:paraId="0A99C0AD" w14:textId="77777777" w:rsidR="0010616D" w:rsidRPr="0010616D" w:rsidRDefault="007277D2" w:rsidP="00AA2133">
      <w:pPr>
        <w:rPr>
          <w:rFonts w:ascii="Arial" w:hAnsi="Arial" w:cs="Arial"/>
          <w:sz w:val="20"/>
          <w:szCs w:val="20"/>
          <w:u w:val="single"/>
        </w:rPr>
      </w:pPr>
      <w:r w:rsidRPr="0010616D">
        <w:rPr>
          <w:rFonts w:ascii="Arial" w:hAnsi="Arial" w:cs="Arial"/>
          <w:sz w:val="20"/>
          <w:szCs w:val="20"/>
          <w:u w:val="single"/>
        </w:rPr>
        <w:t>Part 1</w:t>
      </w:r>
    </w:p>
    <w:p w14:paraId="55BF3296" w14:textId="5ADC60AD" w:rsidR="00765F47" w:rsidRPr="00765F47" w:rsidRDefault="00765F47" w:rsidP="00765F47">
      <w:pPr>
        <w:rPr>
          <w:rFonts w:ascii="Arial" w:hAnsi="Arial" w:cs="Arial"/>
          <w:sz w:val="20"/>
          <w:szCs w:val="20"/>
        </w:rPr>
      </w:pPr>
      <w:r>
        <w:rPr>
          <w:rFonts w:ascii="Arial" w:hAnsi="Arial" w:cs="Arial"/>
          <w:sz w:val="20"/>
          <w:szCs w:val="20"/>
        </w:rPr>
        <w:t>This w</w:t>
      </w:r>
      <w:r w:rsidRPr="00765F47">
        <w:rPr>
          <w:rFonts w:ascii="Arial" w:hAnsi="Arial" w:cs="Arial"/>
          <w:sz w:val="20"/>
          <w:szCs w:val="20"/>
        </w:rPr>
        <w:t xml:space="preserve">as </w:t>
      </w:r>
      <w:r w:rsidR="00A9085F">
        <w:rPr>
          <w:rFonts w:ascii="Arial" w:hAnsi="Arial" w:cs="Arial"/>
          <w:sz w:val="20"/>
          <w:szCs w:val="20"/>
        </w:rPr>
        <w:t>a straightforward corporation tax requirement</w:t>
      </w:r>
      <w:r w:rsidR="00762683">
        <w:rPr>
          <w:rFonts w:ascii="Arial" w:hAnsi="Arial" w:cs="Arial"/>
          <w:sz w:val="20"/>
          <w:szCs w:val="20"/>
        </w:rPr>
        <w:t>.</w:t>
      </w:r>
      <w:r w:rsidR="00A9085F">
        <w:rPr>
          <w:rFonts w:ascii="Arial" w:hAnsi="Arial" w:cs="Arial"/>
          <w:sz w:val="20"/>
          <w:szCs w:val="20"/>
        </w:rPr>
        <w:t xml:space="preserve"> It was </w:t>
      </w:r>
      <w:r w:rsidRPr="00765F47">
        <w:rPr>
          <w:rFonts w:ascii="Arial" w:hAnsi="Arial" w:cs="Arial"/>
          <w:sz w:val="20"/>
          <w:szCs w:val="20"/>
        </w:rPr>
        <w:t xml:space="preserve">well answered and most scored full marks. </w:t>
      </w:r>
      <w:r>
        <w:rPr>
          <w:rFonts w:ascii="Arial" w:hAnsi="Arial" w:cs="Arial"/>
          <w:sz w:val="20"/>
          <w:szCs w:val="20"/>
        </w:rPr>
        <w:t>Of those who did not, a few</w:t>
      </w:r>
      <w:r w:rsidR="00A9085F">
        <w:rPr>
          <w:rFonts w:ascii="Arial" w:hAnsi="Arial" w:cs="Arial"/>
          <w:sz w:val="20"/>
          <w:szCs w:val="20"/>
        </w:rPr>
        <w:t xml:space="preserve"> candidates</w:t>
      </w:r>
      <w:r>
        <w:rPr>
          <w:rFonts w:ascii="Arial" w:hAnsi="Arial" w:cs="Arial"/>
          <w:sz w:val="20"/>
          <w:szCs w:val="20"/>
        </w:rPr>
        <w:t xml:space="preserve"> jumped straight to pro rating without having calculated the total corporation tax, and some divided the tax into three or four equal </w:t>
      </w:r>
      <w:r w:rsidRPr="00765F47">
        <w:rPr>
          <w:rFonts w:ascii="Arial" w:hAnsi="Arial" w:cs="Arial"/>
          <w:sz w:val="20"/>
          <w:szCs w:val="20"/>
        </w:rPr>
        <w:t>shares.</w:t>
      </w:r>
    </w:p>
    <w:p w14:paraId="7EC9E40E" w14:textId="77777777" w:rsidR="0010616D" w:rsidRPr="0010616D" w:rsidRDefault="00A974DF" w:rsidP="00AA2133">
      <w:pPr>
        <w:rPr>
          <w:rFonts w:ascii="Arial" w:hAnsi="Arial" w:cs="Arial"/>
          <w:sz w:val="20"/>
          <w:szCs w:val="20"/>
          <w:u w:val="single"/>
        </w:rPr>
      </w:pPr>
      <w:r w:rsidRPr="0010616D">
        <w:rPr>
          <w:rFonts w:ascii="Arial" w:hAnsi="Arial" w:cs="Arial"/>
          <w:sz w:val="20"/>
          <w:szCs w:val="20"/>
          <w:u w:val="single"/>
        </w:rPr>
        <w:t xml:space="preserve">Part 2 </w:t>
      </w:r>
    </w:p>
    <w:p w14:paraId="6A9DE6D9" w14:textId="305F1B45" w:rsidR="00765F47" w:rsidRPr="00765F47" w:rsidRDefault="00A9085F" w:rsidP="00765F47">
      <w:pPr>
        <w:rPr>
          <w:rFonts w:ascii="Arial" w:hAnsi="Arial" w:cs="Arial"/>
          <w:sz w:val="20"/>
          <w:szCs w:val="20"/>
        </w:rPr>
      </w:pPr>
      <w:r>
        <w:rPr>
          <w:rFonts w:ascii="Arial" w:hAnsi="Arial" w:cs="Arial"/>
          <w:sz w:val="20"/>
          <w:szCs w:val="20"/>
        </w:rPr>
        <w:t>This CIS deduction calculation was mostly</w:t>
      </w:r>
      <w:r w:rsidR="00765F47" w:rsidRPr="00765F47">
        <w:rPr>
          <w:rFonts w:ascii="Arial" w:hAnsi="Arial" w:cs="Arial"/>
          <w:sz w:val="20"/>
          <w:szCs w:val="20"/>
        </w:rPr>
        <w:t xml:space="preserve"> well attempted. Some </w:t>
      </w:r>
      <w:r>
        <w:rPr>
          <w:rFonts w:ascii="Arial" w:hAnsi="Arial" w:cs="Arial"/>
          <w:sz w:val="20"/>
          <w:szCs w:val="20"/>
        </w:rPr>
        <w:t>candidates</w:t>
      </w:r>
      <w:r w:rsidRPr="00765F47">
        <w:rPr>
          <w:rFonts w:ascii="Arial" w:hAnsi="Arial" w:cs="Arial"/>
          <w:sz w:val="20"/>
          <w:szCs w:val="20"/>
        </w:rPr>
        <w:t xml:space="preserve"> </w:t>
      </w:r>
      <w:r w:rsidR="00765F47" w:rsidRPr="00765F47">
        <w:rPr>
          <w:rFonts w:ascii="Arial" w:hAnsi="Arial" w:cs="Arial"/>
          <w:sz w:val="20"/>
          <w:szCs w:val="20"/>
        </w:rPr>
        <w:t>gathered the correct costs for deduction</w:t>
      </w:r>
      <w:r>
        <w:rPr>
          <w:rFonts w:ascii="Arial" w:hAnsi="Arial" w:cs="Arial"/>
          <w:sz w:val="20"/>
          <w:szCs w:val="20"/>
        </w:rPr>
        <w:t>, including the profit on the materials,</w:t>
      </w:r>
      <w:r w:rsidR="00765F47" w:rsidRPr="00765F47">
        <w:rPr>
          <w:rFonts w:ascii="Arial" w:hAnsi="Arial" w:cs="Arial"/>
          <w:sz w:val="20"/>
          <w:szCs w:val="20"/>
        </w:rPr>
        <w:t xml:space="preserve"> but did</w:t>
      </w:r>
      <w:r w:rsidR="00F90B4F">
        <w:rPr>
          <w:rFonts w:ascii="Arial" w:hAnsi="Arial" w:cs="Arial"/>
          <w:sz w:val="20"/>
          <w:szCs w:val="20"/>
        </w:rPr>
        <w:t xml:space="preserve"> </w:t>
      </w:r>
      <w:r w:rsidR="002E0CA0">
        <w:rPr>
          <w:rFonts w:ascii="Arial" w:hAnsi="Arial" w:cs="Arial"/>
          <w:sz w:val="20"/>
          <w:szCs w:val="20"/>
        </w:rPr>
        <w:t xml:space="preserve">not </w:t>
      </w:r>
      <w:r w:rsidR="002E0CA0" w:rsidRPr="00765F47">
        <w:rPr>
          <w:rFonts w:ascii="Arial" w:hAnsi="Arial" w:cs="Arial"/>
          <w:sz w:val="20"/>
          <w:szCs w:val="20"/>
        </w:rPr>
        <w:t>then</w:t>
      </w:r>
      <w:r w:rsidR="00765F47" w:rsidRPr="00765F47">
        <w:rPr>
          <w:rFonts w:ascii="Arial" w:hAnsi="Arial" w:cs="Arial"/>
          <w:sz w:val="20"/>
          <w:szCs w:val="20"/>
        </w:rPr>
        <w:t xml:space="preserve"> </w:t>
      </w:r>
      <w:r>
        <w:rPr>
          <w:rFonts w:ascii="Arial" w:hAnsi="Arial" w:cs="Arial"/>
          <w:sz w:val="20"/>
          <w:szCs w:val="20"/>
        </w:rPr>
        <w:t xml:space="preserve">correctly </w:t>
      </w:r>
      <w:r w:rsidR="00765F47" w:rsidRPr="00765F47">
        <w:rPr>
          <w:rFonts w:ascii="Arial" w:hAnsi="Arial" w:cs="Arial"/>
          <w:sz w:val="20"/>
          <w:szCs w:val="20"/>
        </w:rPr>
        <w:t>apply the 20%.</w:t>
      </w:r>
      <w:r w:rsidR="002E0CA0">
        <w:rPr>
          <w:rFonts w:ascii="Arial" w:hAnsi="Arial" w:cs="Arial"/>
          <w:sz w:val="20"/>
          <w:szCs w:val="20"/>
        </w:rPr>
        <w:t xml:space="preserve"> Others worked out the deduction but did not show it being deducted from the gross pay.</w:t>
      </w:r>
    </w:p>
    <w:p w14:paraId="029D54E8" w14:textId="77777777" w:rsidR="0010616D" w:rsidRPr="0010616D" w:rsidRDefault="001D3DB7" w:rsidP="00AA2133">
      <w:pPr>
        <w:rPr>
          <w:rFonts w:ascii="Arial" w:hAnsi="Arial" w:cs="Arial"/>
          <w:sz w:val="20"/>
          <w:szCs w:val="20"/>
          <w:u w:val="single"/>
        </w:rPr>
      </w:pPr>
      <w:r w:rsidRPr="0010616D">
        <w:rPr>
          <w:rFonts w:ascii="Arial" w:hAnsi="Arial" w:cs="Arial"/>
          <w:sz w:val="20"/>
          <w:szCs w:val="20"/>
          <w:u w:val="single"/>
        </w:rPr>
        <w:t>Part 3</w:t>
      </w:r>
    </w:p>
    <w:p w14:paraId="109232FC" w14:textId="73E9DD8F" w:rsidR="00765F47" w:rsidRPr="00765F47" w:rsidRDefault="00A9085F" w:rsidP="00765F47">
      <w:pPr>
        <w:rPr>
          <w:rFonts w:ascii="Arial" w:hAnsi="Arial" w:cs="Arial"/>
          <w:sz w:val="20"/>
          <w:szCs w:val="20"/>
        </w:rPr>
      </w:pPr>
      <w:r>
        <w:rPr>
          <w:rFonts w:ascii="Arial" w:hAnsi="Arial" w:cs="Arial"/>
          <w:sz w:val="20"/>
          <w:szCs w:val="20"/>
        </w:rPr>
        <w:t>There were some good answers to this</w:t>
      </w:r>
      <w:r w:rsidR="00FC6E2F">
        <w:rPr>
          <w:rFonts w:ascii="Arial" w:hAnsi="Arial" w:cs="Arial"/>
          <w:sz w:val="20"/>
          <w:szCs w:val="20"/>
        </w:rPr>
        <w:t xml:space="preserve"> on the CIS reporting obligations</w:t>
      </w:r>
      <w:r>
        <w:rPr>
          <w:rFonts w:ascii="Arial" w:hAnsi="Arial" w:cs="Arial"/>
          <w:sz w:val="20"/>
          <w:szCs w:val="20"/>
        </w:rPr>
        <w:t>, but some candidates wasted time on superfluous points. For example some wrote in detail about the process for verifying contractors</w:t>
      </w:r>
      <w:r w:rsidR="00FC6E2F">
        <w:rPr>
          <w:rFonts w:ascii="Arial" w:hAnsi="Arial" w:cs="Arial"/>
          <w:sz w:val="20"/>
          <w:szCs w:val="20"/>
        </w:rPr>
        <w:t>, or the tax treatment, rather than the reporting</w:t>
      </w:r>
      <w:r>
        <w:rPr>
          <w:rFonts w:ascii="Arial" w:hAnsi="Arial" w:cs="Arial"/>
          <w:sz w:val="20"/>
          <w:szCs w:val="20"/>
        </w:rPr>
        <w:t>. M</w:t>
      </w:r>
      <w:r w:rsidR="00765F47" w:rsidRPr="00765F47">
        <w:rPr>
          <w:rFonts w:ascii="Arial" w:hAnsi="Arial" w:cs="Arial"/>
          <w:sz w:val="20"/>
          <w:szCs w:val="20"/>
        </w:rPr>
        <w:t>ost gave the information that was needed in the return. Few gave the December dates.</w:t>
      </w:r>
      <w:r>
        <w:rPr>
          <w:rFonts w:ascii="Arial" w:hAnsi="Arial" w:cs="Arial"/>
          <w:sz w:val="20"/>
          <w:szCs w:val="20"/>
        </w:rPr>
        <w:t xml:space="preserve"> </w:t>
      </w:r>
    </w:p>
    <w:p w14:paraId="16105D3D" w14:textId="77777777" w:rsidR="0010616D" w:rsidRPr="0010616D" w:rsidRDefault="00291098" w:rsidP="00AA2133">
      <w:pPr>
        <w:rPr>
          <w:rFonts w:ascii="Arial" w:hAnsi="Arial" w:cs="Arial"/>
          <w:sz w:val="20"/>
          <w:szCs w:val="20"/>
          <w:u w:val="single"/>
        </w:rPr>
      </w:pPr>
      <w:r w:rsidRPr="0010616D">
        <w:rPr>
          <w:rFonts w:ascii="Arial" w:hAnsi="Arial" w:cs="Arial"/>
          <w:sz w:val="20"/>
          <w:szCs w:val="20"/>
          <w:u w:val="single"/>
        </w:rPr>
        <w:t>Part 4</w:t>
      </w:r>
    </w:p>
    <w:p w14:paraId="5674B8D3" w14:textId="3D88BEBD" w:rsidR="00765F47" w:rsidRPr="00765F47" w:rsidRDefault="00CE0083" w:rsidP="00765F47">
      <w:pPr>
        <w:rPr>
          <w:rFonts w:ascii="Arial" w:hAnsi="Arial" w:cs="Arial"/>
          <w:sz w:val="20"/>
          <w:szCs w:val="20"/>
        </w:rPr>
      </w:pPr>
      <w:r>
        <w:rPr>
          <w:rFonts w:ascii="Arial" w:hAnsi="Arial" w:cs="Arial"/>
          <w:sz w:val="20"/>
          <w:szCs w:val="20"/>
        </w:rPr>
        <w:lastRenderedPageBreak/>
        <w:t xml:space="preserve">This part offered some straightforward marks for national insurance calculations and identification of dates and payers, </w:t>
      </w:r>
      <w:r w:rsidR="00255F2E">
        <w:rPr>
          <w:rFonts w:ascii="Arial" w:hAnsi="Arial" w:cs="Arial"/>
          <w:sz w:val="20"/>
          <w:szCs w:val="20"/>
        </w:rPr>
        <w:t>provided the requirements were read carefully. M</w:t>
      </w:r>
      <w:r>
        <w:rPr>
          <w:rFonts w:ascii="Arial" w:hAnsi="Arial" w:cs="Arial"/>
          <w:sz w:val="20"/>
          <w:szCs w:val="20"/>
        </w:rPr>
        <w:t>any candidates missed out on some of the easy marks.</w:t>
      </w:r>
      <w:r w:rsidR="003A6A54">
        <w:rPr>
          <w:rFonts w:ascii="Arial" w:hAnsi="Arial" w:cs="Arial"/>
          <w:sz w:val="20"/>
          <w:szCs w:val="20"/>
        </w:rPr>
        <w:t xml:space="preserve"> </w:t>
      </w:r>
      <w:r w:rsidR="000634CB">
        <w:rPr>
          <w:rFonts w:ascii="Arial" w:hAnsi="Arial" w:cs="Arial"/>
          <w:sz w:val="20"/>
          <w:szCs w:val="20"/>
        </w:rPr>
        <w:t>Some</w:t>
      </w:r>
      <w:r w:rsidR="00765F47" w:rsidRPr="00765F47">
        <w:rPr>
          <w:rFonts w:ascii="Arial" w:hAnsi="Arial" w:cs="Arial"/>
          <w:sz w:val="20"/>
          <w:szCs w:val="20"/>
        </w:rPr>
        <w:t xml:space="preserve"> candidates wasted time </w:t>
      </w:r>
      <w:r w:rsidR="003A6A54">
        <w:rPr>
          <w:rFonts w:ascii="Arial" w:hAnsi="Arial" w:cs="Arial"/>
          <w:sz w:val="20"/>
          <w:szCs w:val="20"/>
        </w:rPr>
        <w:t xml:space="preserve">working </w:t>
      </w:r>
      <w:r w:rsidR="000634CB">
        <w:rPr>
          <w:rFonts w:ascii="Arial" w:hAnsi="Arial" w:cs="Arial"/>
          <w:sz w:val="20"/>
          <w:szCs w:val="20"/>
        </w:rPr>
        <w:t xml:space="preserve">secondary </w:t>
      </w:r>
      <w:r w:rsidR="00765F47" w:rsidRPr="00765F47">
        <w:rPr>
          <w:rFonts w:ascii="Arial" w:hAnsi="Arial" w:cs="Arial"/>
          <w:sz w:val="20"/>
          <w:szCs w:val="20"/>
        </w:rPr>
        <w:t>Class 1</w:t>
      </w:r>
      <w:r w:rsidR="003A6A54">
        <w:rPr>
          <w:rFonts w:ascii="Arial" w:hAnsi="Arial" w:cs="Arial"/>
          <w:sz w:val="20"/>
          <w:szCs w:val="20"/>
        </w:rPr>
        <w:t xml:space="preserve"> NICs</w:t>
      </w:r>
      <w:r w:rsidR="00765F47" w:rsidRPr="00765F47">
        <w:rPr>
          <w:rFonts w:ascii="Arial" w:hAnsi="Arial" w:cs="Arial"/>
          <w:sz w:val="20"/>
          <w:szCs w:val="20"/>
        </w:rPr>
        <w:t xml:space="preserve">, and some showed workings for every month which again took up a lot of time. </w:t>
      </w:r>
      <w:r w:rsidR="00042320">
        <w:rPr>
          <w:rFonts w:ascii="Arial" w:hAnsi="Arial" w:cs="Arial"/>
          <w:sz w:val="20"/>
          <w:szCs w:val="20"/>
        </w:rPr>
        <w:t>There was confusion apparent from some candidates</w:t>
      </w:r>
      <w:r w:rsidR="00042320" w:rsidRPr="00765F47">
        <w:rPr>
          <w:rFonts w:ascii="Arial" w:hAnsi="Arial" w:cs="Arial"/>
          <w:sz w:val="20"/>
          <w:szCs w:val="20"/>
        </w:rPr>
        <w:t xml:space="preserve"> </w:t>
      </w:r>
      <w:r w:rsidR="000634CB">
        <w:rPr>
          <w:rFonts w:ascii="Arial" w:hAnsi="Arial" w:cs="Arial"/>
          <w:sz w:val="20"/>
          <w:szCs w:val="20"/>
        </w:rPr>
        <w:t>between</w:t>
      </w:r>
      <w:r w:rsidR="00042320">
        <w:rPr>
          <w:rFonts w:ascii="Arial" w:hAnsi="Arial" w:cs="Arial"/>
          <w:sz w:val="20"/>
          <w:szCs w:val="20"/>
        </w:rPr>
        <w:t xml:space="preserve"> different classes of NICs. </w:t>
      </w:r>
      <w:r w:rsidR="00765F47" w:rsidRPr="00765F47">
        <w:rPr>
          <w:rFonts w:ascii="Arial" w:hAnsi="Arial" w:cs="Arial"/>
          <w:sz w:val="20"/>
          <w:szCs w:val="20"/>
        </w:rPr>
        <w:t>Many did</w:t>
      </w:r>
      <w:r w:rsidR="003A6A54">
        <w:rPr>
          <w:rFonts w:ascii="Arial" w:hAnsi="Arial" w:cs="Arial"/>
          <w:sz w:val="20"/>
          <w:szCs w:val="20"/>
        </w:rPr>
        <w:t xml:space="preserve"> not mention</w:t>
      </w:r>
      <w:r w:rsidR="00765F47" w:rsidRPr="00765F47">
        <w:rPr>
          <w:rFonts w:ascii="Arial" w:hAnsi="Arial" w:cs="Arial"/>
          <w:sz w:val="20"/>
          <w:szCs w:val="20"/>
        </w:rPr>
        <w:t xml:space="preserve"> Class 4</w:t>
      </w:r>
      <w:r w:rsidR="003A6A54">
        <w:rPr>
          <w:rFonts w:ascii="Arial" w:hAnsi="Arial" w:cs="Arial"/>
          <w:sz w:val="20"/>
          <w:szCs w:val="20"/>
        </w:rPr>
        <w:t xml:space="preserve"> at all</w:t>
      </w:r>
      <w:r w:rsidR="00765F47" w:rsidRPr="00765F47">
        <w:rPr>
          <w:rFonts w:ascii="Arial" w:hAnsi="Arial" w:cs="Arial"/>
          <w:sz w:val="20"/>
          <w:szCs w:val="20"/>
        </w:rPr>
        <w:t>. But there were some good calculations</w:t>
      </w:r>
      <w:r w:rsidR="001931A6">
        <w:rPr>
          <w:rFonts w:ascii="Arial" w:hAnsi="Arial" w:cs="Arial"/>
          <w:sz w:val="20"/>
          <w:szCs w:val="20"/>
        </w:rPr>
        <w:t>, especially of Class 1 primary NICs</w:t>
      </w:r>
      <w:r w:rsidR="00765F47" w:rsidRPr="00765F47">
        <w:rPr>
          <w:rFonts w:ascii="Arial" w:hAnsi="Arial" w:cs="Arial"/>
          <w:sz w:val="20"/>
          <w:szCs w:val="20"/>
        </w:rPr>
        <w:t>.</w:t>
      </w:r>
    </w:p>
    <w:p w14:paraId="01C6A7B2" w14:textId="77777777" w:rsidR="0010616D" w:rsidRDefault="0010616D" w:rsidP="00AA2133">
      <w:pPr>
        <w:rPr>
          <w:rFonts w:ascii="Arial" w:hAnsi="Arial" w:cs="Arial"/>
          <w:b/>
          <w:bCs/>
          <w:sz w:val="20"/>
          <w:szCs w:val="20"/>
        </w:rPr>
      </w:pPr>
    </w:p>
    <w:p w14:paraId="0508A2D2" w14:textId="67BABBE1" w:rsidR="000B1630" w:rsidRPr="000B1630" w:rsidRDefault="000B1630" w:rsidP="00AA2133">
      <w:pPr>
        <w:rPr>
          <w:rFonts w:ascii="Arial" w:hAnsi="Arial" w:cs="Arial"/>
          <w:b/>
          <w:bCs/>
          <w:sz w:val="20"/>
          <w:szCs w:val="20"/>
        </w:rPr>
      </w:pPr>
      <w:r w:rsidRPr="000B1630">
        <w:rPr>
          <w:rFonts w:ascii="Arial" w:hAnsi="Arial" w:cs="Arial"/>
          <w:b/>
          <w:bCs/>
          <w:sz w:val="20"/>
          <w:szCs w:val="20"/>
        </w:rPr>
        <w:t>Question 5</w:t>
      </w:r>
    </w:p>
    <w:p w14:paraId="52D4A903" w14:textId="5484EE7F" w:rsidR="00AE2AF9" w:rsidRPr="00AE2AF9" w:rsidRDefault="00AE2AF9" w:rsidP="00AE2AF9">
      <w:pPr>
        <w:rPr>
          <w:rFonts w:ascii="Arial" w:hAnsi="Arial" w:cs="Arial"/>
          <w:sz w:val="20"/>
          <w:szCs w:val="20"/>
        </w:rPr>
      </w:pPr>
      <w:r w:rsidRPr="00AE2AF9">
        <w:rPr>
          <w:rFonts w:ascii="Arial" w:hAnsi="Arial" w:cs="Arial"/>
          <w:sz w:val="20"/>
          <w:szCs w:val="20"/>
        </w:rPr>
        <w:t>A fair number of candidates omitted Q5 entirely</w:t>
      </w:r>
      <w:r>
        <w:rPr>
          <w:rFonts w:ascii="Arial" w:hAnsi="Arial" w:cs="Arial"/>
          <w:sz w:val="20"/>
          <w:szCs w:val="20"/>
        </w:rPr>
        <w:t>, however many who attempted all requirements scored reasonably well overall</w:t>
      </w:r>
      <w:r w:rsidRPr="00AE2AF9">
        <w:rPr>
          <w:rFonts w:ascii="Arial" w:hAnsi="Arial" w:cs="Arial"/>
          <w:sz w:val="20"/>
          <w:szCs w:val="20"/>
        </w:rPr>
        <w:t>.</w:t>
      </w:r>
    </w:p>
    <w:p w14:paraId="759CB001" w14:textId="4898ADD1" w:rsidR="0010616D" w:rsidRPr="0010616D" w:rsidRDefault="008A0274" w:rsidP="00AA2133">
      <w:pPr>
        <w:rPr>
          <w:rFonts w:ascii="Arial" w:hAnsi="Arial" w:cs="Arial"/>
          <w:sz w:val="20"/>
          <w:szCs w:val="20"/>
          <w:u w:val="single"/>
        </w:rPr>
      </w:pPr>
      <w:r w:rsidRPr="0010616D">
        <w:rPr>
          <w:rFonts w:ascii="Arial" w:hAnsi="Arial" w:cs="Arial"/>
          <w:sz w:val="20"/>
          <w:szCs w:val="20"/>
          <w:u w:val="single"/>
        </w:rPr>
        <w:t xml:space="preserve">Part 1 </w:t>
      </w:r>
    </w:p>
    <w:p w14:paraId="556B56EA" w14:textId="11D7EA54" w:rsidR="00AE2AF9" w:rsidRPr="00AE2AF9" w:rsidRDefault="00AE2AF9" w:rsidP="00AE2AF9">
      <w:pPr>
        <w:rPr>
          <w:rFonts w:ascii="Arial" w:hAnsi="Arial" w:cs="Arial"/>
          <w:sz w:val="20"/>
          <w:szCs w:val="20"/>
        </w:rPr>
      </w:pPr>
      <w:r>
        <w:rPr>
          <w:rFonts w:ascii="Arial" w:hAnsi="Arial" w:cs="Arial"/>
          <w:sz w:val="20"/>
          <w:szCs w:val="20"/>
        </w:rPr>
        <w:t>This</w:t>
      </w:r>
      <w:r w:rsidRPr="00AE2AF9">
        <w:rPr>
          <w:rFonts w:ascii="Arial" w:hAnsi="Arial" w:cs="Arial"/>
          <w:sz w:val="20"/>
          <w:szCs w:val="20"/>
        </w:rPr>
        <w:t xml:space="preserve"> </w:t>
      </w:r>
      <w:r>
        <w:rPr>
          <w:rFonts w:ascii="Arial" w:hAnsi="Arial" w:cs="Arial"/>
          <w:sz w:val="20"/>
          <w:szCs w:val="20"/>
        </w:rPr>
        <w:t xml:space="preserve">requirement on income tax payable by/to a company </w:t>
      </w:r>
      <w:r w:rsidRPr="00AE2AF9">
        <w:rPr>
          <w:rFonts w:ascii="Arial" w:hAnsi="Arial" w:cs="Arial"/>
          <w:sz w:val="20"/>
          <w:szCs w:val="20"/>
        </w:rPr>
        <w:t xml:space="preserve">was well attempted. A common error was </w:t>
      </w:r>
      <w:r>
        <w:rPr>
          <w:rFonts w:ascii="Arial" w:hAnsi="Arial" w:cs="Arial"/>
          <w:sz w:val="20"/>
          <w:szCs w:val="20"/>
        </w:rPr>
        <w:t>omitting part of the pro rating of the tax needed</w:t>
      </w:r>
      <w:r w:rsidRPr="00AE2AF9">
        <w:rPr>
          <w:rFonts w:ascii="Arial" w:hAnsi="Arial" w:cs="Arial"/>
          <w:sz w:val="20"/>
          <w:szCs w:val="20"/>
        </w:rPr>
        <w:t>. Some candidates g</w:t>
      </w:r>
      <w:r>
        <w:rPr>
          <w:rFonts w:ascii="Arial" w:hAnsi="Arial" w:cs="Arial"/>
          <w:sz w:val="20"/>
          <w:szCs w:val="20"/>
        </w:rPr>
        <w:t>ave</w:t>
      </w:r>
      <w:r w:rsidRPr="00AE2AF9">
        <w:rPr>
          <w:rFonts w:ascii="Arial" w:hAnsi="Arial" w:cs="Arial"/>
          <w:sz w:val="20"/>
          <w:szCs w:val="20"/>
        </w:rPr>
        <w:t xml:space="preserve"> dates without </w:t>
      </w:r>
      <w:r>
        <w:rPr>
          <w:rFonts w:ascii="Arial" w:hAnsi="Arial" w:cs="Arial"/>
          <w:sz w:val="20"/>
          <w:szCs w:val="20"/>
        </w:rPr>
        <w:t xml:space="preserve">stating </w:t>
      </w:r>
      <w:r w:rsidRPr="00AE2AF9">
        <w:rPr>
          <w:rFonts w:ascii="Arial" w:hAnsi="Arial" w:cs="Arial"/>
          <w:sz w:val="20"/>
          <w:szCs w:val="20"/>
        </w:rPr>
        <w:t>the year</w:t>
      </w:r>
      <w:r>
        <w:rPr>
          <w:rFonts w:ascii="Arial" w:hAnsi="Arial" w:cs="Arial"/>
          <w:sz w:val="20"/>
          <w:szCs w:val="20"/>
        </w:rPr>
        <w:t>, which was not enough to score marks</w:t>
      </w:r>
      <w:r w:rsidRPr="00AE2AF9">
        <w:rPr>
          <w:rFonts w:ascii="Arial" w:hAnsi="Arial" w:cs="Arial"/>
          <w:sz w:val="20"/>
          <w:szCs w:val="20"/>
        </w:rPr>
        <w:t>.</w:t>
      </w:r>
    </w:p>
    <w:p w14:paraId="2E82279E" w14:textId="77777777" w:rsidR="0010616D" w:rsidRPr="0010616D" w:rsidRDefault="0001064B" w:rsidP="00AA2133">
      <w:pPr>
        <w:rPr>
          <w:rFonts w:ascii="Arial" w:hAnsi="Arial" w:cs="Arial"/>
          <w:sz w:val="20"/>
          <w:szCs w:val="20"/>
          <w:u w:val="single"/>
        </w:rPr>
      </w:pPr>
      <w:r w:rsidRPr="0010616D">
        <w:rPr>
          <w:rFonts w:ascii="Arial" w:hAnsi="Arial" w:cs="Arial"/>
          <w:sz w:val="20"/>
          <w:szCs w:val="20"/>
          <w:u w:val="single"/>
        </w:rPr>
        <w:t>Part 2</w:t>
      </w:r>
    </w:p>
    <w:p w14:paraId="12993C3E" w14:textId="0609484F" w:rsidR="00AE2AF9" w:rsidRPr="00AE2AF9" w:rsidRDefault="00BE5098" w:rsidP="00AE2AF9">
      <w:pPr>
        <w:rPr>
          <w:rFonts w:ascii="Arial" w:hAnsi="Arial" w:cs="Arial"/>
          <w:sz w:val="20"/>
          <w:szCs w:val="20"/>
        </w:rPr>
      </w:pPr>
      <w:r>
        <w:rPr>
          <w:rFonts w:ascii="Arial" w:hAnsi="Arial" w:cs="Arial"/>
          <w:sz w:val="20"/>
          <w:szCs w:val="20"/>
        </w:rPr>
        <w:t>Many candidates scored well here, applying their knowledge of how SIP withdrawals are treated. S</w:t>
      </w:r>
      <w:r w:rsidR="00993561">
        <w:rPr>
          <w:rFonts w:ascii="Arial" w:hAnsi="Arial" w:cs="Arial"/>
          <w:sz w:val="20"/>
          <w:szCs w:val="20"/>
        </w:rPr>
        <w:t>o</w:t>
      </w:r>
      <w:r w:rsidR="00AE2AF9" w:rsidRPr="00AE2AF9">
        <w:rPr>
          <w:rFonts w:ascii="Arial" w:hAnsi="Arial" w:cs="Arial"/>
          <w:sz w:val="20"/>
          <w:szCs w:val="20"/>
        </w:rPr>
        <w:t xml:space="preserve">me showed very extended </w:t>
      </w:r>
      <w:r>
        <w:rPr>
          <w:rFonts w:ascii="Arial" w:hAnsi="Arial" w:cs="Arial"/>
          <w:sz w:val="20"/>
          <w:szCs w:val="20"/>
        </w:rPr>
        <w:t xml:space="preserve">and unnecessary </w:t>
      </w:r>
      <w:r w:rsidR="00AE2AF9" w:rsidRPr="00AE2AF9">
        <w:rPr>
          <w:rFonts w:ascii="Arial" w:hAnsi="Arial" w:cs="Arial"/>
          <w:sz w:val="20"/>
          <w:szCs w:val="20"/>
        </w:rPr>
        <w:t>calculations</w:t>
      </w:r>
      <w:r>
        <w:rPr>
          <w:rFonts w:ascii="Arial" w:hAnsi="Arial" w:cs="Arial"/>
          <w:sz w:val="20"/>
          <w:szCs w:val="20"/>
        </w:rPr>
        <w:t>,</w:t>
      </w:r>
      <w:r w:rsidR="00AE2AF9" w:rsidRPr="00AE2AF9">
        <w:rPr>
          <w:rFonts w:ascii="Arial" w:hAnsi="Arial" w:cs="Arial"/>
          <w:sz w:val="20"/>
          <w:szCs w:val="20"/>
        </w:rPr>
        <w:t xml:space="preserve"> which would have taken up time, for no extra marks. In </w:t>
      </w:r>
      <w:r w:rsidR="00B41BBE">
        <w:rPr>
          <w:rFonts w:ascii="Arial" w:hAnsi="Arial" w:cs="Arial"/>
          <w:sz w:val="20"/>
          <w:szCs w:val="20"/>
        </w:rPr>
        <w:t xml:space="preserve">part </w:t>
      </w:r>
      <w:r w:rsidR="00AE2AF9" w:rsidRPr="00AE2AF9">
        <w:rPr>
          <w:rFonts w:ascii="Arial" w:hAnsi="Arial" w:cs="Arial"/>
          <w:sz w:val="20"/>
          <w:szCs w:val="20"/>
        </w:rPr>
        <w:t xml:space="preserve">b, most identified the </w:t>
      </w:r>
      <w:r w:rsidR="00B41BBE">
        <w:rPr>
          <w:rFonts w:ascii="Arial" w:hAnsi="Arial" w:cs="Arial"/>
          <w:sz w:val="20"/>
          <w:szCs w:val="20"/>
        </w:rPr>
        <w:t>readily convertible assets,</w:t>
      </w:r>
      <w:r w:rsidR="00AE2AF9" w:rsidRPr="00AE2AF9">
        <w:rPr>
          <w:rFonts w:ascii="Arial" w:hAnsi="Arial" w:cs="Arial"/>
          <w:sz w:val="20"/>
          <w:szCs w:val="20"/>
        </w:rPr>
        <w:t xml:space="preserve"> but few went on to the detail about how collection of PAYE would work.</w:t>
      </w:r>
    </w:p>
    <w:p w14:paraId="5F1F33E1" w14:textId="77777777" w:rsidR="0010616D" w:rsidRPr="0010616D" w:rsidRDefault="00E319C0" w:rsidP="00AA2133">
      <w:pPr>
        <w:rPr>
          <w:rFonts w:ascii="Arial" w:hAnsi="Arial" w:cs="Arial"/>
          <w:sz w:val="20"/>
          <w:szCs w:val="20"/>
          <w:u w:val="single"/>
        </w:rPr>
      </w:pPr>
      <w:r w:rsidRPr="0010616D">
        <w:rPr>
          <w:rFonts w:ascii="Arial" w:hAnsi="Arial" w:cs="Arial"/>
          <w:sz w:val="20"/>
          <w:szCs w:val="20"/>
          <w:u w:val="single"/>
        </w:rPr>
        <w:t xml:space="preserve">Part 3 </w:t>
      </w:r>
    </w:p>
    <w:p w14:paraId="06202541" w14:textId="0C14BA25" w:rsidR="00AE2AF9" w:rsidRPr="00AE2AF9" w:rsidRDefault="00A8346E" w:rsidP="00AE2AF9">
      <w:pPr>
        <w:rPr>
          <w:rFonts w:ascii="Arial" w:hAnsi="Arial" w:cs="Arial"/>
          <w:sz w:val="20"/>
          <w:szCs w:val="20"/>
        </w:rPr>
      </w:pPr>
      <w:r>
        <w:rPr>
          <w:rFonts w:ascii="Arial" w:hAnsi="Arial" w:cs="Arial"/>
          <w:sz w:val="20"/>
          <w:szCs w:val="20"/>
        </w:rPr>
        <w:t xml:space="preserve">This </w:t>
      </w:r>
      <w:r w:rsidR="00AE2AF9" w:rsidRPr="00AE2AF9">
        <w:rPr>
          <w:rFonts w:ascii="Arial" w:hAnsi="Arial" w:cs="Arial"/>
          <w:sz w:val="20"/>
          <w:szCs w:val="20"/>
        </w:rPr>
        <w:t xml:space="preserve">was </w:t>
      </w:r>
      <w:r>
        <w:rPr>
          <w:rFonts w:ascii="Arial" w:hAnsi="Arial" w:cs="Arial"/>
          <w:sz w:val="20"/>
          <w:szCs w:val="20"/>
        </w:rPr>
        <w:t xml:space="preserve">a </w:t>
      </w:r>
      <w:r w:rsidR="00762683">
        <w:rPr>
          <w:rFonts w:ascii="Arial" w:hAnsi="Arial" w:cs="Arial"/>
          <w:sz w:val="20"/>
          <w:szCs w:val="20"/>
        </w:rPr>
        <w:t>straightforward</w:t>
      </w:r>
      <w:r>
        <w:rPr>
          <w:rFonts w:ascii="Arial" w:hAnsi="Arial" w:cs="Arial"/>
          <w:sz w:val="20"/>
          <w:szCs w:val="20"/>
        </w:rPr>
        <w:t xml:space="preserve"> calculation of benefits in kind. Many lost only one mark on this part. </w:t>
      </w:r>
      <w:r w:rsidR="00AE2AF9" w:rsidRPr="00AE2AF9">
        <w:rPr>
          <w:rFonts w:ascii="Arial" w:hAnsi="Arial" w:cs="Arial"/>
          <w:sz w:val="20"/>
          <w:szCs w:val="20"/>
        </w:rPr>
        <w:t>There were some errors with the pro rating</w:t>
      </w:r>
      <w:r>
        <w:rPr>
          <w:rFonts w:ascii="Arial" w:hAnsi="Arial" w:cs="Arial"/>
          <w:sz w:val="20"/>
          <w:szCs w:val="20"/>
        </w:rPr>
        <w:t xml:space="preserve">, omitting to pro rate some amounts. Where candidates </w:t>
      </w:r>
      <w:r w:rsidR="00762683">
        <w:rPr>
          <w:rFonts w:ascii="Arial" w:hAnsi="Arial" w:cs="Arial"/>
          <w:sz w:val="20"/>
          <w:szCs w:val="20"/>
        </w:rPr>
        <w:t>prorated</w:t>
      </w:r>
      <w:r>
        <w:rPr>
          <w:rFonts w:ascii="Arial" w:hAnsi="Arial" w:cs="Arial"/>
          <w:sz w:val="20"/>
          <w:szCs w:val="20"/>
        </w:rPr>
        <w:t xml:space="preserve"> using the wrong number of months, follow-through marks were given where this was applied consistently. There was also some uncertainty over</w:t>
      </w:r>
      <w:r w:rsidR="00AE2AF9" w:rsidRPr="00AE2AF9">
        <w:rPr>
          <w:rFonts w:ascii="Arial" w:hAnsi="Arial" w:cs="Arial"/>
          <w:sz w:val="20"/>
          <w:szCs w:val="20"/>
        </w:rPr>
        <w:t xml:space="preserve"> what to deduct for employee payments.</w:t>
      </w:r>
    </w:p>
    <w:p w14:paraId="2C25D91F" w14:textId="77777777" w:rsidR="0010616D" w:rsidRPr="0010616D" w:rsidRDefault="004D305C" w:rsidP="00AA2133">
      <w:pPr>
        <w:rPr>
          <w:rFonts w:ascii="Arial" w:hAnsi="Arial" w:cs="Arial"/>
          <w:sz w:val="20"/>
          <w:szCs w:val="20"/>
          <w:u w:val="single"/>
        </w:rPr>
      </w:pPr>
      <w:r w:rsidRPr="0010616D">
        <w:rPr>
          <w:rFonts w:ascii="Arial" w:hAnsi="Arial" w:cs="Arial"/>
          <w:sz w:val="20"/>
          <w:szCs w:val="20"/>
          <w:u w:val="single"/>
        </w:rPr>
        <w:t xml:space="preserve">Part 4 </w:t>
      </w:r>
    </w:p>
    <w:p w14:paraId="5DC43D35" w14:textId="15298291" w:rsidR="00AE2AF9" w:rsidRDefault="00921382" w:rsidP="00AE2AF9">
      <w:pPr>
        <w:rPr>
          <w:rFonts w:ascii="Arial" w:hAnsi="Arial" w:cs="Arial"/>
          <w:sz w:val="20"/>
          <w:szCs w:val="20"/>
        </w:rPr>
      </w:pPr>
      <w:r>
        <w:rPr>
          <w:rFonts w:ascii="Arial" w:hAnsi="Arial" w:cs="Arial"/>
          <w:sz w:val="20"/>
          <w:szCs w:val="20"/>
        </w:rPr>
        <w:t xml:space="preserve">This requirement concerned NICs on a PAYE settlement arrangement, </w:t>
      </w:r>
      <w:r w:rsidR="000742C3">
        <w:rPr>
          <w:rFonts w:ascii="Arial" w:hAnsi="Arial" w:cs="Arial"/>
          <w:sz w:val="20"/>
          <w:szCs w:val="20"/>
        </w:rPr>
        <w:t xml:space="preserve">but </w:t>
      </w:r>
      <w:r w:rsidR="000742C3" w:rsidRPr="00AE2AF9">
        <w:rPr>
          <w:rFonts w:ascii="Arial" w:hAnsi="Arial" w:cs="Arial"/>
          <w:sz w:val="20"/>
          <w:szCs w:val="20"/>
        </w:rPr>
        <w:t>many</w:t>
      </w:r>
      <w:r w:rsidR="00AE2AF9" w:rsidRPr="00AE2AF9">
        <w:rPr>
          <w:rFonts w:ascii="Arial" w:hAnsi="Arial" w:cs="Arial"/>
          <w:sz w:val="20"/>
          <w:szCs w:val="20"/>
        </w:rPr>
        <w:t xml:space="preserve"> candidates referred to Class 1A and gave a July date for payment. Few managed the full calculation correctly</w:t>
      </w:r>
      <w:r>
        <w:rPr>
          <w:rFonts w:ascii="Arial" w:hAnsi="Arial" w:cs="Arial"/>
          <w:sz w:val="20"/>
          <w:szCs w:val="20"/>
        </w:rPr>
        <w:t>, with the grossing up seldom done correctly</w:t>
      </w:r>
      <w:r w:rsidR="00AE2AF9" w:rsidRPr="00AE2AF9">
        <w:rPr>
          <w:rFonts w:ascii="Arial" w:hAnsi="Arial" w:cs="Arial"/>
          <w:sz w:val="20"/>
          <w:szCs w:val="20"/>
        </w:rPr>
        <w:t>.</w:t>
      </w:r>
    </w:p>
    <w:p w14:paraId="5D44D504" w14:textId="77777777" w:rsidR="009A6480" w:rsidRPr="00AE2AF9" w:rsidRDefault="009A6480" w:rsidP="00AE2AF9">
      <w:pPr>
        <w:rPr>
          <w:rFonts w:ascii="Arial" w:hAnsi="Arial" w:cs="Arial"/>
          <w:sz w:val="20"/>
          <w:szCs w:val="20"/>
        </w:rPr>
      </w:pPr>
    </w:p>
    <w:p w14:paraId="2CEE5E71" w14:textId="7D65EAFE" w:rsidR="000B1630" w:rsidRPr="000B1630" w:rsidRDefault="000B1630" w:rsidP="00AA2133">
      <w:pPr>
        <w:rPr>
          <w:rFonts w:ascii="Arial" w:hAnsi="Arial" w:cs="Arial"/>
          <w:b/>
          <w:bCs/>
          <w:sz w:val="20"/>
          <w:szCs w:val="20"/>
        </w:rPr>
      </w:pPr>
      <w:r w:rsidRPr="000B1630">
        <w:rPr>
          <w:rFonts w:ascii="Arial" w:hAnsi="Arial" w:cs="Arial"/>
          <w:b/>
          <w:bCs/>
          <w:sz w:val="20"/>
          <w:szCs w:val="20"/>
        </w:rPr>
        <w:t>Question 6</w:t>
      </w:r>
    </w:p>
    <w:p w14:paraId="5A767C9F" w14:textId="77777777" w:rsidR="0010616D" w:rsidRPr="0010616D" w:rsidRDefault="006C5DCA" w:rsidP="00AA2133">
      <w:pPr>
        <w:rPr>
          <w:rFonts w:ascii="Arial" w:hAnsi="Arial" w:cs="Arial"/>
          <w:sz w:val="20"/>
          <w:szCs w:val="20"/>
          <w:u w:val="single"/>
        </w:rPr>
      </w:pPr>
      <w:r w:rsidRPr="0010616D">
        <w:rPr>
          <w:rFonts w:ascii="Arial" w:hAnsi="Arial" w:cs="Arial"/>
          <w:sz w:val="20"/>
          <w:szCs w:val="20"/>
          <w:u w:val="single"/>
        </w:rPr>
        <w:t>Part 1</w:t>
      </w:r>
      <w:r w:rsidR="00CD4441" w:rsidRPr="0010616D">
        <w:rPr>
          <w:rFonts w:ascii="Arial" w:hAnsi="Arial" w:cs="Arial"/>
          <w:sz w:val="20"/>
          <w:szCs w:val="20"/>
          <w:u w:val="single"/>
        </w:rPr>
        <w:t xml:space="preserve"> </w:t>
      </w:r>
    </w:p>
    <w:p w14:paraId="1FBDD47E" w14:textId="41E5601D" w:rsidR="00507E4A" w:rsidRPr="00507E4A" w:rsidRDefault="00507E4A" w:rsidP="00507E4A">
      <w:pPr>
        <w:rPr>
          <w:rFonts w:ascii="Arial" w:hAnsi="Arial" w:cs="Arial"/>
          <w:sz w:val="20"/>
          <w:szCs w:val="20"/>
        </w:rPr>
      </w:pPr>
      <w:r w:rsidRPr="00507E4A">
        <w:rPr>
          <w:rFonts w:ascii="Arial" w:hAnsi="Arial" w:cs="Arial"/>
          <w:sz w:val="20"/>
          <w:szCs w:val="20"/>
        </w:rPr>
        <w:t xml:space="preserve">In </w:t>
      </w:r>
      <w:r w:rsidR="00786F77">
        <w:rPr>
          <w:rFonts w:ascii="Arial" w:hAnsi="Arial" w:cs="Arial"/>
          <w:sz w:val="20"/>
          <w:szCs w:val="20"/>
        </w:rPr>
        <w:t>this part, it appeared that candidates often knew the rules but did not manage to describe these well enough. M</w:t>
      </w:r>
      <w:r w:rsidRPr="00507E4A">
        <w:rPr>
          <w:rFonts w:ascii="Arial" w:hAnsi="Arial" w:cs="Arial"/>
          <w:sz w:val="20"/>
          <w:szCs w:val="20"/>
        </w:rPr>
        <w:t>ost knew what was</w:t>
      </w:r>
      <w:r w:rsidR="00786F77">
        <w:rPr>
          <w:rFonts w:ascii="Arial" w:hAnsi="Arial" w:cs="Arial"/>
          <w:sz w:val="20"/>
          <w:szCs w:val="20"/>
        </w:rPr>
        <w:t xml:space="preserve"> or was not</w:t>
      </w:r>
      <w:r w:rsidRPr="00507E4A">
        <w:rPr>
          <w:rFonts w:ascii="Arial" w:hAnsi="Arial" w:cs="Arial"/>
          <w:sz w:val="20"/>
          <w:szCs w:val="20"/>
        </w:rPr>
        <w:t xml:space="preserve"> taxable, but </w:t>
      </w:r>
      <w:r w:rsidR="00750A2F">
        <w:rPr>
          <w:rFonts w:ascii="Arial" w:hAnsi="Arial" w:cs="Arial"/>
          <w:sz w:val="20"/>
          <w:szCs w:val="20"/>
        </w:rPr>
        <w:t>for example the</w:t>
      </w:r>
      <w:r w:rsidRPr="00507E4A">
        <w:rPr>
          <w:rFonts w:ascii="Arial" w:hAnsi="Arial" w:cs="Arial"/>
          <w:sz w:val="20"/>
          <w:szCs w:val="20"/>
        </w:rPr>
        <w:t xml:space="preserve"> round sum allowance was not mentioned often. Only a handful of answers included the full phrase ‘wholly, exclusively and necessarily’</w:t>
      </w:r>
      <w:r w:rsidR="00A838D2">
        <w:rPr>
          <w:rFonts w:ascii="Arial" w:hAnsi="Arial" w:cs="Arial"/>
          <w:sz w:val="20"/>
          <w:szCs w:val="20"/>
        </w:rPr>
        <w:t>: some included part of this, or some gave vague reference to ‘business’ expenses</w:t>
      </w:r>
      <w:r w:rsidRPr="00507E4A">
        <w:rPr>
          <w:rFonts w:ascii="Arial" w:hAnsi="Arial" w:cs="Arial"/>
          <w:sz w:val="20"/>
          <w:szCs w:val="20"/>
        </w:rPr>
        <w:t xml:space="preserve">. </w:t>
      </w:r>
    </w:p>
    <w:p w14:paraId="093BD82F" w14:textId="77777777" w:rsidR="0010616D" w:rsidRPr="0010616D" w:rsidRDefault="006C5DCA" w:rsidP="00AA2133">
      <w:pPr>
        <w:rPr>
          <w:rFonts w:ascii="Arial" w:hAnsi="Arial" w:cs="Arial"/>
          <w:sz w:val="20"/>
          <w:szCs w:val="20"/>
          <w:u w:val="single"/>
        </w:rPr>
      </w:pPr>
      <w:r w:rsidRPr="0010616D">
        <w:rPr>
          <w:rFonts w:ascii="Arial" w:hAnsi="Arial" w:cs="Arial"/>
          <w:sz w:val="20"/>
          <w:szCs w:val="20"/>
          <w:u w:val="single"/>
        </w:rPr>
        <w:t>Part 2</w:t>
      </w:r>
      <w:r w:rsidR="0052238A" w:rsidRPr="0010616D">
        <w:rPr>
          <w:rFonts w:ascii="Arial" w:hAnsi="Arial" w:cs="Arial"/>
          <w:sz w:val="20"/>
          <w:szCs w:val="20"/>
          <w:u w:val="single"/>
        </w:rPr>
        <w:t xml:space="preserve"> </w:t>
      </w:r>
    </w:p>
    <w:p w14:paraId="1B635618" w14:textId="3901AE4F" w:rsidR="00507E4A" w:rsidRPr="00507E4A" w:rsidRDefault="0059749E" w:rsidP="00507E4A">
      <w:pPr>
        <w:rPr>
          <w:rFonts w:ascii="Arial" w:hAnsi="Arial" w:cs="Arial"/>
          <w:sz w:val="20"/>
          <w:szCs w:val="20"/>
        </w:rPr>
      </w:pPr>
      <w:r>
        <w:rPr>
          <w:rFonts w:ascii="Arial" w:hAnsi="Arial" w:cs="Arial"/>
          <w:sz w:val="20"/>
          <w:szCs w:val="20"/>
        </w:rPr>
        <w:t>Here again there were some incomplete or poor explanations which belied a higher level of knowledge</w:t>
      </w:r>
      <w:r w:rsidR="002E4F87">
        <w:rPr>
          <w:rFonts w:ascii="Arial" w:hAnsi="Arial" w:cs="Arial"/>
          <w:sz w:val="20"/>
          <w:szCs w:val="20"/>
        </w:rPr>
        <w:t xml:space="preserve"> of how tax relief on payments to charity works</w:t>
      </w:r>
      <w:r>
        <w:rPr>
          <w:rFonts w:ascii="Arial" w:hAnsi="Arial" w:cs="Arial"/>
          <w:sz w:val="20"/>
          <w:szCs w:val="20"/>
        </w:rPr>
        <w:t>. Many candidates</w:t>
      </w:r>
      <w:r w:rsidR="00507E4A" w:rsidRPr="00507E4A">
        <w:rPr>
          <w:rFonts w:ascii="Arial" w:hAnsi="Arial" w:cs="Arial"/>
          <w:sz w:val="20"/>
          <w:szCs w:val="20"/>
        </w:rPr>
        <w:t xml:space="preserve"> focused more</w:t>
      </w:r>
      <w:r>
        <w:rPr>
          <w:rFonts w:ascii="Arial" w:hAnsi="Arial" w:cs="Arial"/>
          <w:sz w:val="20"/>
          <w:szCs w:val="20"/>
        </w:rPr>
        <w:t>, sometimes only,</w:t>
      </w:r>
      <w:r w:rsidR="00507E4A" w:rsidRPr="00507E4A">
        <w:rPr>
          <w:rFonts w:ascii="Arial" w:hAnsi="Arial" w:cs="Arial"/>
          <w:sz w:val="20"/>
          <w:szCs w:val="20"/>
        </w:rPr>
        <w:t xml:space="preserve"> on Jamal’s situation </w:t>
      </w:r>
      <w:r>
        <w:rPr>
          <w:rFonts w:ascii="Arial" w:hAnsi="Arial" w:cs="Arial"/>
          <w:sz w:val="20"/>
          <w:szCs w:val="20"/>
        </w:rPr>
        <w:t xml:space="preserve">rather </w:t>
      </w:r>
      <w:r w:rsidR="00507E4A" w:rsidRPr="00507E4A">
        <w:rPr>
          <w:rFonts w:ascii="Arial" w:hAnsi="Arial" w:cs="Arial"/>
          <w:sz w:val="20"/>
          <w:szCs w:val="20"/>
        </w:rPr>
        <w:t>than on the charity’s</w:t>
      </w:r>
      <w:r w:rsidR="00FE1217">
        <w:rPr>
          <w:rFonts w:ascii="Arial" w:hAnsi="Arial" w:cs="Arial"/>
          <w:sz w:val="20"/>
          <w:szCs w:val="20"/>
        </w:rPr>
        <w:t>,</w:t>
      </w:r>
      <w:r w:rsidR="00102942">
        <w:rPr>
          <w:rFonts w:ascii="Arial" w:hAnsi="Arial" w:cs="Arial"/>
          <w:sz w:val="20"/>
          <w:szCs w:val="20"/>
        </w:rPr>
        <w:t xml:space="preserve"> </w:t>
      </w:r>
      <w:r w:rsidR="002C2B5F">
        <w:rPr>
          <w:rFonts w:ascii="Arial" w:hAnsi="Arial" w:cs="Arial"/>
          <w:sz w:val="20"/>
          <w:szCs w:val="20"/>
        </w:rPr>
        <w:t>and the use of the payroll giving agency</w:t>
      </w:r>
      <w:r w:rsidR="00507E4A" w:rsidRPr="00507E4A">
        <w:rPr>
          <w:rFonts w:ascii="Arial" w:hAnsi="Arial" w:cs="Arial"/>
          <w:sz w:val="20"/>
          <w:szCs w:val="20"/>
        </w:rPr>
        <w:t>.</w:t>
      </w:r>
    </w:p>
    <w:p w14:paraId="3A1ACA07" w14:textId="77777777" w:rsidR="0010616D" w:rsidRPr="0010616D" w:rsidRDefault="006C5DCA" w:rsidP="00AA2133">
      <w:pPr>
        <w:rPr>
          <w:rFonts w:ascii="Arial" w:hAnsi="Arial" w:cs="Arial"/>
          <w:sz w:val="20"/>
          <w:szCs w:val="20"/>
          <w:u w:val="single"/>
        </w:rPr>
      </w:pPr>
      <w:r w:rsidRPr="0010616D">
        <w:rPr>
          <w:rFonts w:ascii="Arial" w:hAnsi="Arial" w:cs="Arial"/>
          <w:sz w:val="20"/>
          <w:szCs w:val="20"/>
          <w:u w:val="single"/>
        </w:rPr>
        <w:t>Part 3</w:t>
      </w:r>
    </w:p>
    <w:p w14:paraId="6D20860B" w14:textId="44229520" w:rsidR="00507E4A" w:rsidRPr="00507E4A" w:rsidRDefault="00507E4A" w:rsidP="00507E4A">
      <w:pPr>
        <w:rPr>
          <w:rFonts w:ascii="Arial" w:hAnsi="Arial" w:cs="Arial"/>
          <w:sz w:val="20"/>
          <w:szCs w:val="20"/>
        </w:rPr>
      </w:pPr>
      <w:r w:rsidRPr="00507E4A">
        <w:rPr>
          <w:rFonts w:ascii="Arial" w:hAnsi="Arial" w:cs="Arial"/>
          <w:sz w:val="20"/>
          <w:szCs w:val="20"/>
        </w:rPr>
        <w:lastRenderedPageBreak/>
        <w:t>The partnership calculation was better attempted than the written sections by m</w:t>
      </w:r>
      <w:r w:rsidR="003C6FCB">
        <w:rPr>
          <w:rFonts w:ascii="Arial" w:hAnsi="Arial" w:cs="Arial"/>
          <w:sz w:val="20"/>
          <w:szCs w:val="20"/>
        </w:rPr>
        <w:t>ost candidates, was well presented, and</w:t>
      </w:r>
      <w:r w:rsidRPr="00507E4A">
        <w:rPr>
          <w:rFonts w:ascii="Arial" w:hAnsi="Arial" w:cs="Arial"/>
          <w:sz w:val="20"/>
          <w:szCs w:val="20"/>
        </w:rPr>
        <w:t xml:space="preserve"> usually scor</w:t>
      </w:r>
      <w:r w:rsidR="003C6FCB">
        <w:rPr>
          <w:rFonts w:ascii="Arial" w:hAnsi="Arial" w:cs="Arial"/>
          <w:sz w:val="20"/>
          <w:szCs w:val="20"/>
        </w:rPr>
        <w:t xml:space="preserve">ed </w:t>
      </w:r>
      <w:r w:rsidRPr="00507E4A">
        <w:rPr>
          <w:rFonts w:ascii="Arial" w:hAnsi="Arial" w:cs="Arial"/>
          <w:sz w:val="20"/>
          <w:szCs w:val="20"/>
        </w:rPr>
        <w:t>most or all of the available marks.</w:t>
      </w:r>
      <w:r w:rsidR="003C6FCB">
        <w:rPr>
          <w:rFonts w:ascii="Arial" w:hAnsi="Arial" w:cs="Arial"/>
          <w:sz w:val="20"/>
          <w:szCs w:val="20"/>
        </w:rPr>
        <w:t xml:space="preserve"> The most frequent error was inclusion of a whole year’s salary.</w:t>
      </w:r>
      <w:r w:rsidR="00372ED8">
        <w:rPr>
          <w:rFonts w:ascii="Arial" w:hAnsi="Arial" w:cs="Arial"/>
          <w:sz w:val="20"/>
          <w:szCs w:val="20"/>
        </w:rPr>
        <w:t xml:space="preserve"> It was worth taking the few extra moments here to record the relevant dates, which was a good reminder of the need to pro rate.</w:t>
      </w:r>
    </w:p>
    <w:p w14:paraId="069BC636" w14:textId="77777777" w:rsidR="0010616D" w:rsidRPr="0010616D" w:rsidRDefault="006C5DCA" w:rsidP="00AA2133">
      <w:pPr>
        <w:rPr>
          <w:rFonts w:ascii="Arial" w:hAnsi="Arial" w:cs="Arial"/>
          <w:sz w:val="20"/>
          <w:szCs w:val="20"/>
          <w:u w:val="single"/>
        </w:rPr>
      </w:pPr>
      <w:r w:rsidRPr="0010616D">
        <w:rPr>
          <w:rFonts w:ascii="Arial" w:hAnsi="Arial" w:cs="Arial"/>
          <w:sz w:val="20"/>
          <w:szCs w:val="20"/>
          <w:u w:val="single"/>
        </w:rPr>
        <w:t>Part 4</w:t>
      </w:r>
      <w:r w:rsidR="003E1740" w:rsidRPr="0010616D">
        <w:rPr>
          <w:rFonts w:ascii="Arial" w:hAnsi="Arial" w:cs="Arial"/>
          <w:sz w:val="20"/>
          <w:szCs w:val="20"/>
          <w:u w:val="single"/>
        </w:rPr>
        <w:t xml:space="preserve"> </w:t>
      </w:r>
    </w:p>
    <w:p w14:paraId="175283DD" w14:textId="513E699C" w:rsidR="000B1630" w:rsidRDefault="00E11881" w:rsidP="00507E4A">
      <w:pPr>
        <w:rPr>
          <w:rFonts w:ascii="Arial" w:hAnsi="Arial" w:cs="Arial"/>
          <w:sz w:val="20"/>
          <w:szCs w:val="20"/>
        </w:rPr>
      </w:pPr>
      <w:r>
        <w:rPr>
          <w:rFonts w:ascii="Arial" w:hAnsi="Arial" w:cs="Arial"/>
          <w:sz w:val="20"/>
          <w:szCs w:val="20"/>
        </w:rPr>
        <w:t xml:space="preserve">This communication to partners following an enquiry into the partnership tax return </w:t>
      </w:r>
      <w:r w:rsidR="000742C3">
        <w:rPr>
          <w:rFonts w:ascii="Arial" w:hAnsi="Arial" w:cs="Arial"/>
          <w:sz w:val="20"/>
          <w:szCs w:val="20"/>
        </w:rPr>
        <w:t xml:space="preserve">was </w:t>
      </w:r>
      <w:r w:rsidR="000742C3" w:rsidRPr="00507E4A">
        <w:rPr>
          <w:rFonts w:ascii="Arial" w:hAnsi="Arial" w:cs="Arial"/>
          <w:sz w:val="20"/>
          <w:szCs w:val="20"/>
        </w:rPr>
        <w:t>often</w:t>
      </w:r>
      <w:r w:rsidR="00507E4A" w:rsidRPr="00507E4A">
        <w:rPr>
          <w:rFonts w:ascii="Arial" w:hAnsi="Arial" w:cs="Arial"/>
          <w:sz w:val="20"/>
          <w:szCs w:val="20"/>
        </w:rPr>
        <w:t xml:space="preserve"> well attempted. Some candidates spent a lot </w:t>
      </w:r>
      <w:r w:rsidR="00762683" w:rsidRPr="00507E4A">
        <w:rPr>
          <w:rFonts w:ascii="Arial" w:hAnsi="Arial" w:cs="Arial"/>
          <w:sz w:val="20"/>
          <w:szCs w:val="20"/>
        </w:rPr>
        <w:t>of</w:t>
      </w:r>
      <w:r w:rsidR="00507E4A" w:rsidRPr="00507E4A">
        <w:rPr>
          <w:rFonts w:ascii="Arial" w:hAnsi="Arial" w:cs="Arial"/>
          <w:sz w:val="20"/>
          <w:szCs w:val="20"/>
        </w:rPr>
        <w:t xml:space="preserve"> time discussing amendments and deadlines, rather than </w:t>
      </w:r>
      <w:r>
        <w:rPr>
          <w:rFonts w:ascii="Arial" w:hAnsi="Arial" w:cs="Arial"/>
          <w:sz w:val="20"/>
          <w:szCs w:val="20"/>
        </w:rPr>
        <w:t xml:space="preserve">what the requirement asked for which was </w:t>
      </w:r>
      <w:r w:rsidR="00507E4A" w:rsidRPr="00507E4A">
        <w:rPr>
          <w:rFonts w:ascii="Arial" w:hAnsi="Arial" w:cs="Arial"/>
          <w:sz w:val="20"/>
          <w:szCs w:val="20"/>
        </w:rPr>
        <w:t>the financial impact on the partners.</w:t>
      </w:r>
      <w:r>
        <w:rPr>
          <w:rFonts w:ascii="Arial" w:hAnsi="Arial" w:cs="Arial"/>
          <w:sz w:val="20"/>
          <w:szCs w:val="20"/>
        </w:rPr>
        <w:t xml:space="preserve"> This should have indicated that penalties for the individuals would be a key topic here.</w:t>
      </w:r>
    </w:p>
    <w:sectPr w:rsidR="000B16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02F5" w14:textId="77777777" w:rsidR="004314BA" w:rsidRDefault="004314BA" w:rsidP="005211FE">
      <w:pPr>
        <w:spacing w:after="0" w:line="240" w:lineRule="auto"/>
      </w:pPr>
      <w:r>
        <w:separator/>
      </w:r>
    </w:p>
  </w:endnote>
  <w:endnote w:type="continuationSeparator" w:id="0">
    <w:p w14:paraId="3F4BE4D3" w14:textId="77777777" w:rsidR="004314BA" w:rsidRDefault="004314BA" w:rsidP="0052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76F5" w14:textId="77777777" w:rsidR="004314BA" w:rsidRDefault="004314BA" w:rsidP="005211FE">
      <w:pPr>
        <w:spacing w:after="0" w:line="240" w:lineRule="auto"/>
      </w:pPr>
      <w:r>
        <w:separator/>
      </w:r>
    </w:p>
  </w:footnote>
  <w:footnote w:type="continuationSeparator" w:id="0">
    <w:p w14:paraId="58C6D22B" w14:textId="77777777" w:rsidR="004314BA" w:rsidRDefault="004314BA" w:rsidP="0052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4634" w14:textId="5BF5BB35" w:rsidR="00D50303" w:rsidRPr="00D50303" w:rsidRDefault="008E250D" w:rsidP="00D50303">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0" allowOverlap="1" wp14:anchorId="11E64F54" wp14:editId="10920F19">
              <wp:simplePos x="0" y="0"/>
              <wp:positionH relativeFrom="page">
                <wp:posOffset>0</wp:posOffset>
              </wp:positionH>
              <wp:positionV relativeFrom="page">
                <wp:posOffset>190500</wp:posOffset>
              </wp:positionV>
              <wp:extent cx="7560310" cy="252095"/>
              <wp:effectExtent l="0" t="0" r="0" b="14605"/>
              <wp:wrapNone/>
              <wp:docPr id="1" name="MSIPCM380a439c8cc6b926c060a00b" descr="{&quot;HashCode&quot;:-20586389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619D64" w14:textId="3992FBA2" w:rsidR="008E250D" w:rsidRPr="008E250D" w:rsidRDefault="008E250D" w:rsidP="008E250D">
                          <w:pPr>
                            <w:spacing w:after="0"/>
                            <w:jc w:val="right"/>
                            <w:rPr>
                              <w:rFonts w:ascii="Arial" w:hAnsi="Arial" w:cs="Arial"/>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E64F54" id="_x0000_t202" coordsize="21600,21600" o:spt="202" path="m,l,21600r21600,l21600,xe">
              <v:stroke joinstyle="miter"/>
              <v:path gradientshapeok="t" o:connecttype="rect"/>
            </v:shapetype>
            <v:shape id="MSIPCM380a439c8cc6b926c060a00b" o:spid="_x0000_s1026" type="#_x0000_t202" alt="{&quot;HashCode&quot;:-2058638944,&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3C619D64" w14:textId="3992FBA2" w:rsidR="008E250D" w:rsidRPr="008E250D" w:rsidRDefault="008E250D" w:rsidP="008E250D">
                    <w:pPr>
                      <w:spacing w:after="0"/>
                      <w:jc w:val="right"/>
                      <w:rPr>
                        <w:rFonts w:ascii="Arial" w:hAnsi="Arial" w:cs="Arial"/>
                        <w:color w:val="000000"/>
                        <w:sz w:val="16"/>
                      </w:rPr>
                    </w:pPr>
                  </w:p>
                </w:txbxContent>
              </v:textbox>
              <w10:wrap anchorx="page" anchory="page"/>
            </v:shape>
          </w:pict>
        </mc:Fallback>
      </mc:AlternateContent>
    </w:r>
    <w:r w:rsidR="00D50303" w:rsidRPr="00D50303">
      <w:rPr>
        <w:rFonts w:ascii="Arial" w:hAnsi="Arial" w:cs="Arial"/>
        <w:b/>
        <w:bCs/>
        <w:sz w:val="20"/>
        <w:szCs w:val="20"/>
      </w:rPr>
      <w:t xml:space="preserve">ATT </w:t>
    </w:r>
    <w:r w:rsidR="00075B0C">
      <w:rPr>
        <w:rFonts w:ascii="Arial" w:hAnsi="Arial" w:cs="Arial"/>
        <w:b/>
        <w:bCs/>
        <w:sz w:val="20"/>
        <w:szCs w:val="20"/>
      </w:rPr>
      <w:t>May 202</w:t>
    </w:r>
    <w:r w:rsidR="000B1630">
      <w:rPr>
        <w:rFonts w:ascii="Arial" w:hAnsi="Arial" w:cs="Arial"/>
        <w:b/>
        <w:bCs/>
        <w:sz w:val="20"/>
        <w:szCs w:val="20"/>
      </w:rPr>
      <w:t>5</w:t>
    </w:r>
  </w:p>
  <w:p w14:paraId="25DF0612" w14:textId="1DCE332F" w:rsidR="00D50303" w:rsidRPr="00D50303" w:rsidRDefault="00D50303" w:rsidP="00D50303">
    <w:pPr>
      <w:rPr>
        <w:rFonts w:ascii="Arial" w:hAnsi="Arial" w:cs="Arial"/>
        <w:b/>
        <w:bCs/>
        <w:color w:val="FF0000"/>
        <w:sz w:val="20"/>
        <w:szCs w:val="20"/>
      </w:rPr>
    </w:pPr>
    <w:r w:rsidRPr="00D50303">
      <w:rPr>
        <w:rFonts w:ascii="Arial" w:hAnsi="Arial" w:cs="Arial"/>
        <w:b/>
        <w:bCs/>
        <w:sz w:val="20"/>
        <w:szCs w:val="20"/>
      </w:rPr>
      <w:t xml:space="preserve">Paper </w:t>
    </w:r>
    <w:r w:rsidR="000B1630">
      <w:rPr>
        <w:rFonts w:ascii="Arial" w:hAnsi="Arial" w:cs="Arial"/>
        <w:b/>
        <w:bCs/>
        <w:sz w:val="20"/>
        <w:szCs w:val="20"/>
      </w:rPr>
      <w:t>3</w:t>
    </w:r>
    <w:r w:rsidR="00D138C8">
      <w:rPr>
        <w:rFonts w:ascii="Arial" w:hAnsi="Arial" w:cs="Arial"/>
        <w:b/>
        <w:bCs/>
        <w:sz w:val="20"/>
        <w:szCs w:val="20"/>
      </w:rPr>
      <w:t xml:space="preserve">: </w:t>
    </w:r>
    <w:r w:rsidR="000B1630">
      <w:rPr>
        <w:rFonts w:ascii="Arial" w:hAnsi="Arial" w:cs="Arial"/>
        <w:b/>
        <w:bCs/>
        <w:sz w:val="20"/>
        <w:szCs w:val="20"/>
      </w:rPr>
      <w:t>Business Compliance</w:t>
    </w:r>
  </w:p>
  <w:p w14:paraId="77F89775" w14:textId="77777777" w:rsidR="00D50303" w:rsidRPr="00D50303" w:rsidRDefault="00D50303" w:rsidP="00D50303">
    <w:pPr>
      <w:rPr>
        <w:rFonts w:ascii="Arial" w:hAnsi="Arial" w:cs="Arial"/>
        <w:b/>
        <w:bCs/>
        <w:sz w:val="20"/>
        <w:szCs w:val="20"/>
      </w:rPr>
    </w:pPr>
    <w:r w:rsidRPr="00D50303">
      <w:rPr>
        <w:rFonts w:ascii="Arial" w:hAnsi="Arial" w:cs="Arial"/>
        <w:b/>
        <w:bCs/>
        <w:sz w:val="20"/>
        <w:szCs w:val="20"/>
      </w:rPr>
      <w:t>Examiners’ report</w:t>
    </w:r>
  </w:p>
  <w:p w14:paraId="4A1C3E7C" w14:textId="7568F508" w:rsidR="005211FE" w:rsidRDefault="005211FE" w:rsidP="00D503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0C3"/>
    <w:multiLevelType w:val="hybridMultilevel"/>
    <w:tmpl w:val="E062BB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076D3"/>
    <w:multiLevelType w:val="hybridMultilevel"/>
    <w:tmpl w:val="4800A7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97BDB"/>
    <w:multiLevelType w:val="hybridMultilevel"/>
    <w:tmpl w:val="0F9C25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F14F5"/>
    <w:multiLevelType w:val="hybridMultilevel"/>
    <w:tmpl w:val="DA7A2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397CC1"/>
    <w:multiLevelType w:val="hybridMultilevel"/>
    <w:tmpl w:val="EE64F6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90387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005167">
    <w:abstractNumId w:val="4"/>
  </w:num>
  <w:num w:numId="3" w16cid:durableId="430858018">
    <w:abstractNumId w:val="0"/>
  </w:num>
  <w:num w:numId="4" w16cid:durableId="1390954120">
    <w:abstractNumId w:val="1"/>
  </w:num>
  <w:num w:numId="5" w16cid:durableId="273755081">
    <w:abstractNumId w:val="2"/>
  </w:num>
  <w:num w:numId="6" w16cid:durableId="38629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FE"/>
    <w:rsid w:val="000029A3"/>
    <w:rsid w:val="00005C5F"/>
    <w:rsid w:val="0001064B"/>
    <w:rsid w:val="00017A51"/>
    <w:rsid w:val="00030401"/>
    <w:rsid w:val="00042320"/>
    <w:rsid w:val="00050801"/>
    <w:rsid w:val="000634CB"/>
    <w:rsid w:val="000742C3"/>
    <w:rsid w:val="00075198"/>
    <w:rsid w:val="00075B0C"/>
    <w:rsid w:val="0008022D"/>
    <w:rsid w:val="000A1184"/>
    <w:rsid w:val="000B1630"/>
    <w:rsid w:val="000C5E14"/>
    <w:rsid w:val="000D2882"/>
    <w:rsid w:val="000E1EB5"/>
    <w:rsid w:val="00102942"/>
    <w:rsid w:val="0010616D"/>
    <w:rsid w:val="001205B7"/>
    <w:rsid w:val="001239A5"/>
    <w:rsid w:val="00144A5F"/>
    <w:rsid w:val="00165542"/>
    <w:rsid w:val="00170241"/>
    <w:rsid w:val="00175447"/>
    <w:rsid w:val="001931A6"/>
    <w:rsid w:val="00197136"/>
    <w:rsid w:val="001A477E"/>
    <w:rsid w:val="001A545C"/>
    <w:rsid w:val="001D3C52"/>
    <w:rsid w:val="001D3DB7"/>
    <w:rsid w:val="001D7877"/>
    <w:rsid w:val="001E1B79"/>
    <w:rsid w:val="001E6C18"/>
    <w:rsid w:val="001F7624"/>
    <w:rsid w:val="002055A3"/>
    <w:rsid w:val="0021465B"/>
    <w:rsid w:val="00220346"/>
    <w:rsid w:val="00253B2D"/>
    <w:rsid w:val="00255F2E"/>
    <w:rsid w:val="0026387B"/>
    <w:rsid w:val="00271551"/>
    <w:rsid w:val="00276239"/>
    <w:rsid w:val="00291098"/>
    <w:rsid w:val="002B2DEA"/>
    <w:rsid w:val="002B752C"/>
    <w:rsid w:val="002C2B5F"/>
    <w:rsid w:val="002C342C"/>
    <w:rsid w:val="002E0CA0"/>
    <w:rsid w:val="002E3C45"/>
    <w:rsid w:val="002E4F87"/>
    <w:rsid w:val="00300E32"/>
    <w:rsid w:val="003063DB"/>
    <w:rsid w:val="003156B5"/>
    <w:rsid w:val="003179B3"/>
    <w:rsid w:val="0032334E"/>
    <w:rsid w:val="003358A7"/>
    <w:rsid w:val="003452F2"/>
    <w:rsid w:val="00372ED8"/>
    <w:rsid w:val="003A0C2F"/>
    <w:rsid w:val="003A6A54"/>
    <w:rsid w:val="003C5867"/>
    <w:rsid w:val="003C6FCB"/>
    <w:rsid w:val="003D410D"/>
    <w:rsid w:val="003E0543"/>
    <w:rsid w:val="003E0D21"/>
    <w:rsid w:val="003E1740"/>
    <w:rsid w:val="003E33B1"/>
    <w:rsid w:val="003E3CBD"/>
    <w:rsid w:val="003F2C2A"/>
    <w:rsid w:val="003F30B1"/>
    <w:rsid w:val="00400493"/>
    <w:rsid w:val="00411C0B"/>
    <w:rsid w:val="00413E3C"/>
    <w:rsid w:val="004314BA"/>
    <w:rsid w:val="00431D88"/>
    <w:rsid w:val="004474E5"/>
    <w:rsid w:val="0046235D"/>
    <w:rsid w:val="00471A0C"/>
    <w:rsid w:val="00473951"/>
    <w:rsid w:val="00474137"/>
    <w:rsid w:val="00487C1E"/>
    <w:rsid w:val="004B7A19"/>
    <w:rsid w:val="004D25BF"/>
    <w:rsid w:val="004D305C"/>
    <w:rsid w:val="00500486"/>
    <w:rsid w:val="0050769E"/>
    <w:rsid w:val="00507E4A"/>
    <w:rsid w:val="005211FE"/>
    <w:rsid w:val="0052238A"/>
    <w:rsid w:val="00541D7A"/>
    <w:rsid w:val="00583C34"/>
    <w:rsid w:val="005941B5"/>
    <w:rsid w:val="0059749E"/>
    <w:rsid w:val="005A0927"/>
    <w:rsid w:val="005A0D60"/>
    <w:rsid w:val="005E3159"/>
    <w:rsid w:val="006000F8"/>
    <w:rsid w:val="006078EA"/>
    <w:rsid w:val="006549BD"/>
    <w:rsid w:val="00686F5C"/>
    <w:rsid w:val="00690245"/>
    <w:rsid w:val="00694FED"/>
    <w:rsid w:val="006A53A6"/>
    <w:rsid w:val="006B3B6A"/>
    <w:rsid w:val="006C5DCA"/>
    <w:rsid w:val="006D0055"/>
    <w:rsid w:val="006E45C4"/>
    <w:rsid w:val="007173B9"/>
    <w:rsid w:val="00725C66"/>
    <w:rsid w:val="007277D2"/>
    <w:rsid w:val="0073226B"/>
    <w:rsid w:val="00733098"/>
    <w:rsid w:val="007377AF"/>
    <w:rsid w:val="00741D53"/>
    <w:rsid w:val="00742C64"/>
    <w:rsid w:val="00750A2F"/>
    <w:rsid w:val="00751BF6"/>
    <w:rsid w:val="00762683"/>
    <w:rsid w:val="00765F47"/>
    <w:rsid w:val="0077315F"/>
    <w:rsid w:val="00786F77"/>
    <w:rsid w:val="0079795F"/>
    <w:rsid w:val="007A3B11"/>
    <w:rsid w:val="007C77D7"/>
    <w:rsid w:val="007E3287"/>
    <w:rsid w:val="007F4CF9"/>
    <w:rsid w:val="00813114"/>
    <w:rsid w:val="00813C38"/>
    <w:rsid w:val="00821141"/>
    <w:rsid w:val="00831AB6"/>
    <w:rsid w:val="00850C2C"/>
    <w:rsid w:val="008512DE"/>
    <w:rsid w:val="00873DBF"/>
    <w:rsid w:val="00876975"/>
    <w:rsid w:val="00884060"/>
    <w:rsid w:val="008A0274"/>
    <w:rsid w:val="008A17EA"/>
    <w:rsid w:val="008A3AFB"/>
    <w:rsid w:val="008C13CC"/>
    <w:rsid w:val="008C46C1"/>
    <w:rsid w:val="008D345F"/>
    <w:rsid w:val="008D4664"/>
    <w:rsid w:val="008E12AE"/>
    <w:rsid w:val="008E250D"/>
    <w:rsid w:val="0090465E"/>
    <w:rsid w:val="00921382"/>
    <w:rsid w:val="00922C67"/>
    <w:rsid w:val="009707EC"/>
    <w:rsid w:val="009732B2"/>
    <w:rsid w:val="0099289C"/>
    <w:rsid w:val="00993561"/>
    <w:rsid w:val="009A0C2F"/>
    <w:rsid w:val="009A25FB"/>
    <w:rsid w:val="009A48DF"/>
    <w:rsid w:val="009A6480"/>
    <w:rsid w:val="009B22D2"/>
    <w:rsid w:val="009B79C2"/>
    <w:rsid w:val="009C3D6A"/>
    <w:rsid w:val="009D2996"/>
    <w:rsid w:val="00A070D3"/>
    <w:rsid w:val="00A24B68"/>
    <w:rsid w:val="00A4177C"/>
    <w:rsid w:val="00A63830"/>
    <w:rsid w:val="00A750BA"/>
    <w:rsid w:val="00A808C2"/>
    <w:rsid w:val="00A8346E"/>
    <w:rsid w:val="00A838D2"/>
    <w:rsid w:val="00A86B64"/>
    <w:rsid w:val="00A90461"/>
    <w:rsid w:val="00A9085F"/>
    <w:rsid w:val="00A935AB"/>
    <w:rsid w:val="00A974DF"/>
    <w:rsid w:val="00AA2133"/>
    <w:rsid w:val="00AB01E1"/>
    <w:rsid w:val="00AE2AF9"/>
    <w:rsid w:val="00B14062"/>
    <w:rsid w:val="00B21D2C"/>
    <w:rsid w:val="00B24B0E"/>
    <w:rsid w:val="00B25958"/>
    <w:rsid w:val="00B41BBE"/>
    <w:rsid w:val="00B41E20"/>
    <w:rsid w:val="00B45AFC"/>
    <w:rsid w:val="00B71072"/>
    <w:rsid w:val="00B85E8C"/>
    <w:rsid w:val="00BA0FDC"/>
    <w:rsid w:val="00BA74DF"/>
    <w:rsid w:val="00BB3517"/>
    <w:rsid w:val="00BB7194"/>
    <w:rsid w:val="00BC1643"/>
    <w:rsid w:val="00BD16A8"/>
    <w:rsid w:val="00BE5098"/>
    <w:rsid w:val="00BE7241"/>
    <w:rsid w:val="00BF0B49"/>
    <w:rsid w:val="00BF4707"/>
    <w:rsid w:val="00BF513B"/>
    <w:rsid w:val="00C1338B"/>
    <w:rsid w:val="00C16479"/>
    <w:rsid w:val="00C20707"/>
    <w:rsid w:val="00C3008C"/>
    <w:rsid w:val="00C3698A"/>
    <w:rsid w:val="00C64DF9"/>
    <w:rsid w:val="00C66092"/>
    <w:rsid w:val="00C661C1"/>
    <w:rsid w:val="00C751DB"/>
    <w:rsid w:val="00C9010C"/>
    <w:rsid w:val="00CB1FD5"/>
    <w:rsid w:val="00CC26A1"/>
    <w:rsid w:val="00CC53A0"/>
    <w:rsid w:val="00CC7880"/>
    <w:rsid w:val="00CD4441"/>
    <w:rsid w:val="00CE0083"/>
    <w:rsid w:val="00D02241"/>
    <w:rsid w:val="00D138C8"/>
    <w:rsid w:val="00D233FC"/>
    <w:rsid w:val="00D24F87"/>
    <w:rsid w:val="00D27B9B"/>
    <w:rsid w:val="00D4268A"/>
    <w:rsid w:val="00D4314D"/>
    <w:rsid w:val="00D45881"/>
    <w:rsid w:val="00D47D53"/>
    <w:rsid w:val="00D50303"/>
    <w:rsid w:val="00D55B89"/>
    <w:rsid w:val="00D94146"/>
    <w:rsid w:val="00DA1EAC"/>
    <w:rsid w:val="00DA417F"/>
    <w:rsid w:val="00DC365A"/>
    <w:rsid w:val="00DC3971"/>
    <w:rsid w:val="00DC4E19"/>
    <w:rsid w:val="00DD3640"/>
    <w:rsid w:val="00E04250"/>
    <w:rsid w:val="00E05F6B"/>
    <w:rsid w:val="00E11881"/>
    <w:rsid w:val="00E20A4E"/>
    <w:rsid w:val="00E3079F"/>
    <w:rsid w:val="00E319C0"/>
    <w:rsid w:val="00E33D72"/>
    <w:rsid w:val="00E340EB"/>
    <w:rsid w:val="00E47B29"/>
    <w:rsid w:val="00E51A5C"/>
    <w:rsid w:val="00E639F5"/>
    <w:rsid w:val="00E805C0"/>
    <w:rsid w:val="00E856CF"/>
    <w:rsid w:val="00E87EA4"/>
    <w:rsid w:val="00EB6B76"/>
    <w:rsid w:val="00EE72B6"/>
    <w:rsid w:val="00F17252"/>
    <w:rsid w:val="00F31177"/>
    <w:rsid w:val="00F7789E"/>
    <w:rsid w:val="00F90B4F"/>
    <w:rsid w:val="00FB69B8"/>
    <w:rsid w:val="00FB6B63"/>
    <w:rsid w:val="00FC6E2F"/>
    <w:rsid w:val="00FE1217"/>
    <w:rsid w:val="00FE3818"/>
    <w:rsid w:val="00FF1760"/>
    <w:rsid w:val="00FF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2A0EF"/>
  <w15:chartTrackingRefBased/>
  <w15:docId w15:val="{A577BF92-3C6C-4049-9502-AFB3D75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1FE"/>
  </w:style>
  <w:style w:type="paragraph" w:styleId="Footer">
    <w:name w:val="footer"/>
    <w:basedOn w:val="Normal"/>
    <w:link w:val="FooterChar"/>
    <w:uiPriority w:val="99"/>
    <w:unhideWhenUsed/>
    <w:rsid w:val="0052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FE"/>
  </w:style>
  <w:style w:type="paragraph" w:styleId="ListParagraph">
    <w:name w:val="List Paragraph"/>
    <w:basedOn w:val="Normal"/>
    <w:uiPriority w:val="34"/>
    <w:qFormat/>
    <w:rsid w:val="0010616D"/>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Props1.xml><?xml version="1.0" encoding="utf-8"?>
<ds:datastoreItem xmlns:ds="http://schemas.openxmlformats.org/officeDocument/2006/customXml" ds:itemID="{504C7A45-C554-4876-A597-B7E5B3586DB8}"/>
</file>

<file path=customXml/itemProps2.xml><?xml version="1.0" encoding="utf-8"?>
<ds:datastoreItem xmlns:ds="http://schemas.openxmlformats.org/officeDocument/2006/customXml" ds:itemID="{4DAA5DA9-C6D8-421A-9AD8-BAF05F5F928B}"/>
</file>

<file path=customXml/itemProps3.xml><?xml version="1.0" encoding="utf-8"?>
<ds:datastoreItem xmlns:ds="http://schemas.openxmlformats.org/officeDocument/2006/customXml" ds:itemID="{0357E7E7-791D-4B60-A895-4E510E2D9AFD}"/>
</file>

<file path=docProps/app.xml><?xml version="1.0" encoding="utf-8"?>
<Properties xmlns="http://schemas.openxmlformats.org/officeDocument/2006/extended-properties" xmlns:vt="http://schemas.openxmlformats.org/officeDocument/2006/docPropsVTypes">
  <Template>Normal</Template>
  <TotalTime>40</TotalTime>
  <Pages>4</Pages>
  <Words>1274</Words>
  <Characters>6394</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Stainton</dc:creator>
  <cp:keywords/>
  <dc:description/>
  <cp:lastModifiedBy>Helen Stainton</cp:lastModifiedBy>
  <cp:revision>6</cp:revision>
  <dcterms:created xsi:type="dcterms:W3CDTF">2025-12-02T14:04:00Z</dcterms:created>
  <dcterms:modified xsi:type="dcterms:W3CDTF">2025-12-03T15:03:00Z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5837b0-ed5a-4fd4-94ae-ef361c98d083_Enabled">
    <vt:lpwstr>true</vt:lpwstr>
  </property>
  <property fmtid="{D5CDD505-2E9C-101B-9397-08002B2CF9AE}" pid="3" name="MSIP_Label_785837b0-ed5a-4fd4-94ae-ef361c98d083_SetDate">
    <vt:lpwstr>2022-11-13T18:42:08Z</vt:lpwstr>
  </property>
  <property fmtid="{D5CDD505-2E9C-101B-9397-08002B2CF9AE}" pid="4" name="MSIP_Label_785837b0-ed5a-4fd4-94ae-ef361c98d083_Method">
    <vt:lpwstr>Standard</vt:lpwstr>
  </property>
  <property fmtid="{D5CDD505-2E9C-101B-9397-08002B2CF9AE}" pid="5" name="MSIP_Label_785837b0-ed5a-4fd4-94ae-ef361c98d083_Name">
    <vt:lpwstr>785837b0-ed5a-4fd4-94ae-ef361c98d083</vt:lpwstr>
  </property>
  <property fmtid="{D5CDD505-2E9C-101B-9397-08002B2CF9AE}" pid="6" name="MSIP_Label_785837b0-ed5a-4fd4-94ae-ef361c98d083_SiteId">
    <vt:lpwstr>b723253f-7281-4adc-bc1c-fc9ef3674d78</vt:lpwstr>
  </property>
  <property fmtid="{D5CDD505-2E9C-101B-9397-08002B2CF9AE}" pid="7" name="MSIP_Label_785837b0-ed5a-4fd4-94ae-ef361c98d083_ActionId">
    <vt:lpwstr>e7d3f214-9c07-421e-86bf-10176e6a5a3d</vt:lpwstr>
  </property>
  <property fmtid="{D5CDD505-2E9C-101B-9397-08002B2CF9AE}" pid="8" name="MSIP_Label_785837b0-ed5a-4fd4-94ae-ef361c98d083_ContentBits">
    <vt:lpwstr>1</vt:lpwstr>
  </property>
  <property fmtid="{D5CDD505-2E9C-101B-9397-08002B2CF9AE}" pid="9" name="ContentTypeId">
    <vt:lpwstr>0x01010011BB2E46AF2E0141B46652E03C512568</vt:lpwstr>
  </property>
</Properties>
</file>