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261A9" w14:textId="20D2BF70" w:rsidR="005211FE" w:rsidRDefault="005211FE">
      <w:pPr>
        <w:rPr>
          <w:rFonts w:ascii="Arial" w:hAnsi="Arial" w:cs="Arial"/>
          <w:b/>
          <w:bCs/>
          <w:sz w:val="20"/>
          <w:szCs w:val="20"/>
        </w:rPr>
      </w:pPr>
      <w:r w:rsidRPr="00D50303">
        <w:rPr>
          <w:rFonts w:ascii="Arial" w:hAnsi="Arial" w:cs="Arial"/>
          <w:b/>
          <w:bCs/>
          <w:sz w:val="20"/>
          <w:szCs w:val="20"/>
        </w:rPr>
        <w:t>General comments</w:t>
      </w:r>
    </w:p>
    <w:p w14:paraId="463DF7AB" w14:textId="77777777" w:rsidR="00766DB6" w:rsidRPr="00133E59" w:rsidRDefault="00766DB6" w:rsidP="00766DB6">
      <w:pPr>
        <w:spacing w:before="60" w:after="60" w:line="240" w:lineRule="auto"/>
        <w:jc w:val="both"/>
        <w:rPr>
          <w:rFonts w:ascii="Arial" w:hAnsi="Arial" w:cs="Arial"/>
          <w:sz w:val="20"/>
          <w:szCs w:val="20"/>
        </w:rPr>
      </w:pPr>
      <w:r>
        <w:rPr>
          <w:rFonts w:ascii="Arial" w:hAnsi="Arial" w:cs="Arial"/>
          <w:sz w:val="20"/>
          <w:szCs w:val="20"/>
        </w:rPr>
        <w:t>To be successful</w:t>
      </w:r>
      <w:r w:rsidRPr="00133E59">
        <w:rPr>
          <w:rFonts w:ascii="Arial" w:hAnsi="Arial" w:cs="Arial"/>
          <w:sz w:val="20"/>
          <w:szCs w:val="20"/>
        </w:rPr>
        <w:t xml:space="preserve"> in professional exams</w:t>
      </w:r>
      <w:r>
        <w:rPr>
          <w:rFonts w:ascii="Arial" w:hAnsi="Arial" w:cs="Arial"/>
          <w:sz w:val="20"/>
          <w:szCs w:val="20"/>
        </w:rPr>
        <w:t xml:space="preserve">, an in-depth knowledge and understanding of the syllabus together with a high </w:t>
      </w:r>
      <w:r w:rsidRPr="00133E59">
        <w:rPr>
          <w:rFonts w:ascii="Arial" w:hAnsi="Arial" w:cs="Arial"/>
          <w:sz w:val="20"/>
          <w:szCs w:val="20"/>
        </w:rPr>
        <w:t xml:space="preserve">level of application </w:t>
      </w:r>
      <w:r>
        <w:rPr>
          <w:rFonts w:ascii="Arial" w:hAnsi="Arial" w:cs="Arial"/>
          <w:sz w:val="20"/>
          <w:szCs w:val="20"/>
        </w:rPr>
        <w:t>to the scenario presented is expected</w:t>
      </w:r>
      <w:r w:rsidRPr="00133E59">
        <w:rPr>
          <w:rFonts w:ascii="Arial" w:hAnsi="Arial" w:cs="Arial"/>
          <w:sz w:val="20"/>
          <w:szCs w:val="20"/>
        </w:rPr>
        <w:t xml:space="preserve">. </w:t>
      </w:r>
      <w:r>
        <w:rPr>
          <w:rFonts w:ascii="Arial" w:hAnsi="Arial" w:cs="Arial"/>
          <w:sz w:val="20"/>
          <w:szCs w:val="20"/>
        </w:rPr>
        <w:t xml:space="preserve">Learning by practising </w:t>
      </w:r>
      <w:r w:rsidRPr="00133E59">
        <w:rPr>
          <w:rFonts w:ascii="Arial" w:hAnsi="Arial" w:cs="Arial"/>
          <w:sz w:val="20"/>
          <w:szCs w:val="20"/>
        </w:rPr>
        <w:t xml:space="preserve">questions </w:t>
      </w:r>
      <w:r>
        <w:rPr>
          <w:rFonts w:ascii="Arial" w:hAnsi="Arial" w:cs="Arial"/>
          <w:sz w:val="20"/>
          <w:szCs w:val="20"/>
        </w:rPr>
        <w:t xml:space="preserve">with </w:t>
      </w:r>
      <w:r w:rsidRPr="00133E59">
        <w:rPr>
          <w:rFonts w:ascii="Arial" w:hAnsi="Arial" w:cs="Arial"/>
          <w:sz w:val="20"/>
          <w:szCs w:val="20"/>
        </w:rPr>
        <w:t xml:space="preserve">practical application </w:t>
      </w:r>
      <w:r>
        <w:rPr>
          <w:rFonts w:ascii="Arial" w:hAnsi="Arial" w:cs="Arial"/>
          <w:sz w:val="20"/>
          <w:szCs w:val="20"/>
        </w:rPr>
        <w:t>and obtaining critical feedback is key to success in this examination</w:t>
      </w:r>
      <w:r w:rsidRPr="00133E59">
        <w:rPr>
          <w:rFonts w:ascii="Arial" w:hAnsi="Arial" w:cs="Arial"/>
          <w:sz w:val="20"/>
          <w:szCs w:val="20"/>
        </w:rPr>
        <w:t>.</w:t>
      </w:r>
    </w:p>
    <w:p w14:paraId="5FEE3A5D" w14:textId="54BBB3FC" w:rsidR="00766DB6" w:rsidRDefault="00766DB6" w:rsidP="00766DB6">
      <w:pPr>
        <w:spacing w:before="60" w:after="60" w:line="240" w:lineRule="auto"/>
        <w:jc w:val="both"/>
        <w:rPr>
          <w:rFonts w:ascii="Arial" w:hAnsi="Arial" w:cs="Arial"/>
          <w:sz w:val="20"/>
          <w:szCs w:val="20"/>
        </w:rPr>
      </w:pPr>
      <w:r>
        <w:rPr>
          <w:rFonts w:ascii="Arial" w:hAnsi="Arial" w:cs="Arial"/>
          <w:sz w:val="20"/>
          <w:szCs w:val="20"/>
        </w:rPr>
        <w:t xml:space="preserve">Disappointingly it appears that reading previous examiner’s reports and acting upon the advice has not happened for a significant number of candidates, as it does not seem to have had impact on the standard of scripts received in the subsequent sittings. </w:t>
      </w:r>
    </w:p>
    <w:p w14:paraId="5141E657" w14:textId="4C7858CF" w:rsidR="00766DB6" w:rsidRPr="00133E59" w:rsidRDefault="00766DB6" w:rsidP="00766DB6">
      <w:pPr>
        <w:spacing w:before="60" w:after="60" w:line="240" w:lineRule="auto"/>
        <w:jc w:val="both"/>
        <w:rPr>
          <w:rFonts w:ascii="Arial" w:hAnsi="Arial" w:cs="Arial"/>
          <w:sz w:val="20"/>
          <w:szCs w:val="20"/>
        </w:rPr>
      </w:pPr>
      <w:r w:rsidRPr="00133E59">
        <w:rPr>
          <w:rFonts w:ascii="Arial" w:hAnsi="Arial" w:cs="Arial"/>
          <w:sz w:val="20"/>
          <w:szCs w:val="20"/>
        </w:rPr>
        <w:t xml:space="preserve">Answers to numerical questions </w:t>
      </w:r>
      <w:r>
        <w:rPr>
          <w:rFonts w:ascii="Arial" w:hAnsi="Arial" w:cs="Arial"/>
          <w:sz w:val="20"/>
          <w:szCs w:val="20"/>
        </w:rPr>
        <w:t>which</w:t>
      </w:r>
      <w:r w:rsidRPr="00133E59">
        <w:rPr>
          <w:rFonts w:ascii="Arial" w:hAnsi="Arial" w:cs="Arial"/>
          <w:sz w:val="20"/>
          <w:szCs w:val="20"/>
        </w:rPr>
        <w:t xml:space="preserve"> provid</w:t>
      </w:r>
      <w:r>
        <w:rPr>
          <w:rFonts w:ascii="Arial" w:hAnsi="Arial" w:cs="Arial"/>
          <w:sz w:val="20"/>
          <w:szCs w:val="20"/>
        </w:rPr>
        <w:t xml:space="preserve">e just </w:t>
      </w:r>
      <w:r w:rsidRPr="00133E59">
        <w:rPr>
          <w:rFonts w:ascii="Arial" w:hAnsi="Arial" w:cs="Arial"/>
          <w:sz w:val="20"/>
          <w:szCs w:val="20"/>
        </w:rPr>
        <w:t>list</w:t>
      </w:r>
      <w:r>
        <w:rPr>
          <w:rFonts w:ascii="Arial" w:hAnsi="Arial" w:cs="Arial"/>
          <w:sz w:val="20"/>
          <w:szCs w:val="20"/>
        </w:rPr>
        <w:t>s</w:t>
      </w:r>
      <w:r w:rsidRPr="00133E59">
        <w:rPr>
          <w:rFonts w:ascii="Arial" w:hAnsi="Arial" w:cs="Arial"/>
          <w:sz w:val="20"/>
          <w:szCs w:val="20"/>
        </w:rPr>
        <w:t xml:space="preserve"> of numbers </w:t>
      </w:r>
      <w:r>
        <w:rPr>
          <w:rFonts w:ascii="Arial" w:hAnsi="Arial" w:cs="Arial"/>
          <w:sz w:val="20"/>
          <w:szCs w:val="20"/>
        </w:rPr>
        <w:t xml:space="preserve">or working with </w:t>
      </w:r>
      <w:r w:rsidRPr="00133E59">
        <w:rPr>
          <w:rFonts w:ascii="Arial" w:hAnsi="Arial" w:cs="Arial"/>
          <w:sz w:val="20"/>
          <w:szCs w:val="20"/>
        </w:rPr>
        <w:t xml:space="preserve">no words/labelling of the work performed </w:t>
      </w:r>
      <w:r>
        <w:rPr>
          <w:rFonts w:ascii="Arial" w:hAnsi="Arial" w:cs="Arial"/>
          <w:sz w:val="20"/>
          <w:szCs w:val="20"/>
        </w:rPr>
        <w:t>earn limited credit</w:t>
      </w:r>
      <w:r w:rsidRPr="00133E59">
        <w:rPr>
          <w:rFonts w:ascii="Arial" w:hAnsi="Arial" w:cs="Arial"/>
          <w:sz w:val="20"/>
          <w:szCs w:val="20"/>
        </w:rPr>
        <w:t>.</w:t>
      </w:r>
    </w:p>
    <w:p w14:paraId="682E684D" w14:textId="30A765BC" w:rsidR="00766DB6" w:rsidRDefault="00766DB6" w:rsidP="00766DB6">
      <w:pPr>
        <w:spacing w:before="60" w:after="60" w:line="240" w:lineRule="auto"/>
        <w:jc w:val="both"/>
        <w:rPr>
          <w:rFonts w:ascii="Arial" w:hAnsi="Arial" w:cs="Arial"/>
          <w:sz w:val="20"/>
          <w:szCs w:val="20"/>
        </w:rPr>
      </w:pPr>
      <w:r>
        <w:rPr>
          <w:rFonts w:ascii="Arial" w:hAnsi="Arial" w:cs="Arial"/>
          <w:sz w:val="20"/>
          <w:szCs w:val="20"/>
        </w:rPr>
        <w:t>A</w:t>
      </w:r>
      <w:r w:rsidRPr="00133E59">
        <w:rPr>
          <w:rFonts w:ascii="Arial" w:hAnsi="Arial" w:cs="Arial"/>
          <w:sz w:val="20"/>
          <w:szCs w:val="20"/>
        </w:rPr>
        <w:t xml:space="preserve">nswers to written questions </w:t>
      </w:r>
      <w:r>
        <w:rPr>
          <w:rFonts w:ascii="Arial" w:hAnsi="Arial" w:cs="Arial"/>
          <w:sz w:val="20"/>
          <w:szCs w:val="20"/>
        </w:rPr>
        <w:t xml:space="preserve">have improved slightly in that there appears to be more attempt to apply the knowledge to the scenario given and to answer the specific questions asked. However too many answers </w:t>
      </w:r>
      <w:r w:rsidRPr="00133E59">
        <w:rPr>
          <w:rFonts w:ascii="Arial" w:hAnsi="Arial" w:cs="Arial"/>
          <w:sz w:val="20"/>
          <w:szCs w:val="20"/>
        </w:rPr>
        <w:t xml:space="preserve">continue to be too short, generic, </w:t>
      </w:r>
      <w:r>
        <w:rPr>
          <w:rFonts w:ascii="Arial" w:hAnsi="Arial" w:cs="Arial"/>
          <w:sz w:val="20"/>
          <w:szCs w:val="20"/>
        </w:rPr>
        <w:t xml:space="preserve">and </w:t>
      </w:r>
      <w:r w:rsidRPr="00133E59">
        <w:rPr>
          <w:rFonts w:ascii="Arial" w:hAnsi="Arial" w:cs="Arial"/>
          <w:sz w:val="20"/>
          <w:szCs w:val="20"/>
        </w:rPr>
        <w:t xml:space="preserve">lack depth. </w:t>
      </w:r>
      <w:r>
        <w:rPr>
          <w:rFonts w:ascii="Arial" w:hAnsi="Arial" w:cs="Arial"/>
          <w:sz w:val="20"/>
          <w:szCs w:val="20"/>
        </w:rPr>
        <w:t>Many of the weak answers demonstrate lack of understanding as various snippets of knowledge are given, sometimes contradictory to content already written, and ultimately the answers fail to address the key points of the question.</w:t>
      </w:r>
    </w:p>
    <w:p w14:paraId="3BC74B20" w14:textId="1BE3895F" w:rsidR="00722D56" w:rsidRDefault="00766DB6" w:rsidP="00722D56">
      <w:pPr>
        <w:rPr>
          <w:rFonts w:ascii="Arial" w:hAnsi="Arial" w:cs="Arial"/>
          <w:sz w:val="20"/>
          <w:szCs w:val="20"/>
        </w:rPr>
      </w:pPr>
      <w:r>
        <w:rPr>
          <w:rFonts w:ascii="Arial" w:hAnsi="Arial" w:cs="Arial"/>
          <w:sz w:val="20"/>
          <w:szCs w:val="20"/>
        </w:rPr>
        <w:t>However t</w:t>
      </w:r>
      <w:r w:rsidR="008A6E40">
        <w:rPr>
          <w:rFonts w:ascii="Arial" w:hAnsi="Arial" w:cs="Arial"/>
          <w:sz w:val="20"/>
          <w:szCs w:val="20"/>
        </w:rPr>
        <w:t>he best prepared candidates performed well</w:t>
      </w:r>
      <w:r>
        <w:rPr>
          <w:rFonts w:ascii="Arial" w:hAnsi="Arial" w:cs="Arial"/>
          <w:sz w:val="20"/>
          <w:szCs w:val="20"/>
        </w:rPr>
        <w:t xml:space="preserve"> -</w:t>
      </w:r>
      <w:r w:rsidR="008A6E40">
        <w:rPr>
          <w:rFonts w:ascii="Arial" w:hAnsi="Arial" w:cs="Arial"/>
          <w:sz w:val="20"/>
          <w:szCs w:val="20"/>
        </w:rPr>
        <w:t xml:space="preserve"> </w:t>
      </w:r>
      <w:r>
        <w:rPr>
          <w:rFonts w:ascii="Arial" w:hAnsi="Arial" w:cs="Arial"/>
          <w:sz w:val="20"/>
          <w:szCs w:val="20"/>
        </w:rPr>
        <w:t xml:space="preserve">particularly noticeable </w:t>
      </w:r>
      <w:r w:rsidR="008A6E40">
        <w:rPr>
          <w:rFonts w:ascii="Arial" w:hAnsi="Arial" w:cs="Arial"/>
          <w:sz w:val="20"/>
          <w:szCs w:val="20"/>
        </w:rPr>
        <w:t>in the discriminating aspects of the exam</w:t>
      </w:r>
      <w:r w:rsidR="00722D56">
        <w:rPr>
          <w:rFonts w:ascii="Arial" w:hAnsi="Arial" w:cs="Arial"/>
          <w:sz w:val="20"/>
          <w:szCs w:val="20"/>
        </w:rPr>
        <w:t>.</w:t>
      </w:r>
    </w:p>
    <w:p w14:paraId="79F4F1F1" w14:textId="2D201957" w:rsidR="00C71404" w:rsidRPr="00D50303" w:rsidRDefault="00C71404" w:rsidP="00C71404">
      <w:pPr>
        <w:rPr>
          <w:rFonts w:ascii="Arial" w:hAnsi="Arial" w:cs="Arial"/>
          <w:color w:val="4472C4" w:themeColor="accent1"/>
          <w:sz w:val="20"/>
          <w:szCs w:val="20"/>
        </w:rPr>
      </w:pPr>
      <w:r w:rsidRPr="00D50303">
        <w:rPr>
          <w:rFonts w:ascii="Arial" w:hAnsi="Arial" w:cs="Arial"/>
          <w:b/>
          <w:bCs/>
          <w:sz w:val="20"/>
          <w:szCs w:val="20"/>
        </w:rPr>
        <w:t xml:space="preserve">Question </w:t>
      </w:r>
      <w:r>
        <w:rPr>
          <w:rFonts w:ascii="Arial" w:hAnsi="Arial" w:cs="Arial"/>
          <w:b/>
          <w:bCs/>
          <w:sz w:val="20"/>
          <w:szCs w:val="20"/>
        </w:rPr>
        <w:t>1</w:t>
      </w:r>
    </w:p>
    <w:p w14:paraId="66F81000" w14:textId="77777777" w:rsidR="00766DB6" w:rsidRDefault="00766DB6" w:rsidP="00766DB6">
      <w:pPr>
        <w:spacing w:before="60" w:after="60" w:line="240" w:lineRule="auto"/>
        <w:jc w:val="both"/>
        <w:rPr>
          <w:rFonts w:ascii="Arial" w:hAnsi="Arial" w:cs="Arial"/>
          <w:sz w:val="20"/>
          <w:szCs w:val="20"/>
        </w:rPr>
      </w:pPr>
      <w:bookmarkStart w:id="0" w:name="_Hlk200375343"/>
      <w:r>
        <w:rPr>
          <w:rFonts w:ascii="Arial" w:hAnsi="Arial" w:cs="Arial"/>
          <w:sz w:val="20"/>
          <w:szCs w:val="20"/>
        </w:rPr>
        <w:t xml:space="preserve">Almost all candidates attempted this question. Most attempted all </w:t>
      </w:r>
      <w:proofErr w:type="gramStart"/>
      <w:r>
        <w:rPr>
          <w:rFonts w:ascii="Arial" w:hAnsi="Arial" w:cs="Arial"/>
          <w:sz w:val="20"/>
          <w:szCs w:val="20"/>
        </w:rPr>
        <w:t>parts</w:t>
      </w:r>
      <w:proofErr w:type="gramEnd"/>
      <w:r>
        <w:rPr>
          <w:rFonts w:ascii="Arial" w:hAnsi="Arial" w:cs="Arial"/>
          <w:sz w:val="20"/>
          <w:szCs w:val="20"/>
        </w:rPr>
        <w:t xml:space="preserve"> and many scored well. </w:t>
      </w:r>
    </w:p>
    <w:p w14:paraId="558AC9C2" w14:textId="77777777" w:rsidR="00766DB6" w:rsidRPr="00133E59" w:rsidRDefault="00766DB6" w:rsidP="00766DB6">
      <w:pPr>
        <w:spacing w:before="60" w:after="60" w:line="240" w:lineRule="auto"/>
        <w:jc w:val="both"/>
        <w:rPr>
          <w:rFonts w:ascii="Arial" w:hAnsi="Arial" w:cs="Arial"/>
          <w:sz w:val="20"/>
          <w:szCs w:val="20"/>
        </w:rPr>
      </w:pPr>
      <w:r>
        <w:rPr>
          <w:rFonts w:ascii="Arial" w:hAnsi="Arial" w:cs="Arial"/>
          <w:sz w:val="20"/>
          <w:szCs w:val="20"/>
        </w:rPr>
        <w:t xml:space="preserve">However, </w:t>
      </w:r>
      <w:r w:rsidRPr="00133E59">
        <w:rPr>
          <w:rFonts w:ascii="Arial" w:hAnsi="Arial" w:cs="Arial"/>
          <w:sz w:val="20"/>
          <w:szCs w:val="20"/>
        </w:rPr>
        <w:t>the following were some very common errors made:</w:t>
      </w:r>
    </w:p>
    <w:p w14:paraId="486AF7AF" w14:textId="77777777" w:rsidR="00766DB6" w:rsidRDefault="00766DB6" w:rsidP="00766DB6">
      <w:pPr>
        <w:pStyle w:val="ListParagraph"/>
        <w:numPr>
          <w:ilvl w:val="0"/>
          <w:numId w:val="1"/>
        </w:numPr>
        <w:spacing w:before="60" w:after="60" w:line="240" w:lineRule="auto"/>
        <w:ind w:left="567" w:hanging="567"/>
        <w:contextualSpacing w:val="0"/>
        <w:jc w:val="both"/>
        <w:rPr>
          <w:rFonts w:ascii="Arial" w:hAnsi="Arial" w:cs="Arial"/>
          <w:sz w:val="20"/>
          <w:szCs w:val="20"/>
        </w:rPr>
      </w:pPr>
      <w:r>
        <w:rPr>
          <w:rFonts w:ascii="Arial" w:hAnsi="Arial" w:cs="Arial"/>
          <w:sz w:val="20"/>
          <w:szCs w:val="20"/>
        </w:rPr>
        <w:t>Not remembering that the taxpayer was Scottish when calculating the tax liability and therefore applied the wrong tax rates.</w:t>
      </w:r>
    </w:p>
    <w:p w14:paraId="4AACD71B" w14:textId="77777777" w:rsidR="00766DB6" w:rsidRDefault="00766DB6" w:rsidP="00766DB6">
      <w:pPr>
        <w:pStyle w:val="ListParagraph"/>
        <w:numPr>
          <w:ilvl w:val="0"/>
          <w:numId w:val="1"/>
        </w:numPr>
        <w:spacing w:before="60" w:after="60" w:line="240" w:lineRule="auto"/>
        <w:ind w:left="567" w:hanging="567"/>
        <w:contextualSpacing w:val="0"/>
        <w:jc w:val="both"/>
        <w:rPr>
          <w:rFonts w:ascii="Arial" w:hAnsi="Arial" w:cs="Arial"/>
          <w:sz w:val="20"/>
          <w:szCs w:val="20"/>
        </w:rPr>
      </w:pPr>
      <w:r>
        <w:rPr>
          <w:rFonts w:ascii="Arial" w:hAnsi="Arial" w:cs="Arial"/>
          <w:sz w:val="20"/>
          <w:szCs w:val="20"/>
        </w:rPr>
        <w:t xml:space="preserve">Wasted time producing a working for adjusted net income (ANI) to show that the full personal allowance (PA) is available. </w:t>
      </w:r>
    </w:p>
    <w:p w14:paraId="63C4FB2D" w14:textId="77777777" w:rsidR="00766DB6" w:rsidRDefault="00766DB6" w:rsidP="00766DB6">
      <w:pPr>
        <w:pStyle w:val="ListParagraph"/>
        <w:spacing w:before="60" w:after="60" w:line="240" w:lineRule="auto"/>
        <w:ind w:left="567"/>
        <w:contextualSpacing w:val="0"/>
        <w:jc w:val="both"/>
        <w:rPr>
          <w:rFonts w:ascii="Arial" w:hAnsi="Arial" w:cs="Arial"/>
          <w:sz w:val="20"/>
          <w:szCs w:val="20"/>
        </w:rPr>
      </w:pPr>
      <w:r>
        <w:rPr>
          <w:rFonts w:ascii="Arial" w:hAnsi="Arial" w:cs="Arial"/>
          <w:sz w:val="20"/>
          <w:szCs w:val="20"/>
        </w:rPr>
        <w:t>Note that ANI will always be the same as, or less than, net income. Therefore, if net income per the income tax computation is less than £100,000, we know that the full PA is available and a working is not required.</w:t>
      </w:r>
    </w:p>
    <w:p w14:paraId="16E4DB6C" w14:textId="77777777" w:rsidR="00766DB6" w:rsidRDefault="00766DB6" w:rsidP="00766DB6">
      <w:pPr>
        <w:pStyle w:val="ListParagraph"/>
        <w:numPr>
          <w:ilvl w:val="0"/>
          <w:numId w:val="1"/>
        </w:numPr>
        <w:spacing w:before="60" w:after="60" w:line="240" w:lineRule="auto"/>
        <w:ind w:left="567" w:hanging="567"/>
        <w:contextualSpacing w:val="0"/>
        <w:jc w:val="both"/>
        <w:rPr>
          <w:rFonts w:ascii="Arial" w:hAnsi="Arial" w:cs="Arial"/>
          <w:sz w:val="20"/>
          <w:szCs w:val="20"/>
        </w:rPr>
      </w:pPr>
      <w:r>
        <w:rPr>
          <w:rFonts w:ascii="Arial" w:hAnsi="Arial" w:cs="Arial"/>
          <w:sz w:val="20"/>
          <w:szCs w:val="20"/>
        </w:rPr>
        <w:t xml:space="preserve">Incorrectly extending the tax bands by: </w:t>
      </w:r>
    </w:p>
    <w:p w14:paraId="64C26B30" w14:textId="77777777" w:rsidR="00766DB6" w:rsidRDefault="00766DB6" w:rsidP="00766DB6">
      <w:pPr>
        <w:pStyle w:val="ListParagraph"/>
        <w:numPr>
          <w:ilvl w:val="0"/>
          <w:numId w:val="2"/>
        </w:numPr>
        <w:spacing w:before="60" w:after="60" w:line="240" w:lineRule="auto"/>
        <w:contextualSpacing w:val="0"/>
        <w:jc w:val="both"/>
        <w:rPr>
          <w:rFonts w:ascii="Arial" w:hAnsi="Arial" w:cs="Arial"/>
          <w:sz w:val="20"/>
          <w:szCs w:val="20"/>
        </w:rPr>
      </w:pPr>
      <w:bookmarkStart w:id="1" w:name="_Hlk215826828"/>
      <w:bookmarkEnd w:id="0"/>
      <w:r>
        <w:rPr>
          <w:rFonts w:ascii="Arial" w:hAnsi="Arial" w:cs="Arial"/>
          <w:sz w:val="20"/>
          <w:szCs w:val="20"/>
        </w:rPr>
        <w:t>not grossing up at all.</w:t>
      </w:r>
    </w:p>
    <w:p w14:paraId="1197100B" w14:textId="77777777" w:rsidR="00766DB6" w:rsidRDefault="00766DB6" w:rsidP="00766DB6">
      <w:pPr>
        <w:pStyle w:val="ListParagraph"/>
        <w:numPr>
          <w:ilvl w:val="0"/>
          <w:numId w:val="2"/>
        </w:numPr>
        <w:spacing w:before="60" w:after="60" w:line="240" w:lineRule="auto"/>
        <w:contextualSpacing w:val="0"/>
        <w:jc w:val="both"/>
        <w:rPr>
          <w:rFonts w:ascii="Arial" w:hAnsi="Arial" w:cs="Arial"/>
          <w:sz w:val="20"/>
          <w:szCs w:val="20"/>
        </w:rPr>
      </w:pPr>
      <w:r>
        <w:rPr>
          <w:rFonts w:ascii="Arial" w:hAnsi="Arial" w:cs="Arial"/>
          <w:sz w:val="20"/>
          <w:szCs w:val="20"/>
        </w:rPr>
        <w:t xml:space="preserve">extending </w:t>
      </w:r>
      <w:proofErr w:type="gramStart"/>
      <w:r>
        <w:rPr>
          <w:rFonts w:ascii="Arial" w:hAnsi="Arial" w:cs="Arial"/>
          <w:sz w:val="20"/>
          <w:szCs w:val="20"/>
        </w:rPr>
        <w:t>all of</w:t>
      </w:r>
      <w:proofErr w:type="gramEnd"/>
      <w:r>
        <w:rPr>
          <w:rFonts w:ascii="Arial" w:hAnsi="Arial" w:cs="Arial"/>
          <w:sz w:val="20"/>
          <w:szCs w:val="20"/>
        </w:rPr>
        <w:t xml:space="preserve"> the bands, but for Scottish taxpayers the starter rate is not extended.</w:t>
      </w:r>
    </w:p>
    <w:bookmarkEnd w:id="1"/>
    <w:p w14:paraId="6B4F3648" w14:textId="77777777" w:rsidR="00766DB6" w:rsidRDefault="00766DB6" w:rsidP="00766DB6">
      <w:pPr>
        <w:pStyle w:val="ListParagraph"/>
        <w:numPr>
          <w:ilvl w:val="0"/>
          <w:numId w:val="2"/>
        </w:numPr>
        <w:spacing w:before="60" w:after="60" w:line="240" w:lineRule="auto"/>
        <w:contextualSpacing w:val="0"/>
        <w:jc w:val="both"/>
        <w:rPr>
          <w:rFonts w:ascii="Arial" w:hAnsi="Arial" w:cs="Arial"/>
          <w:sz w:val="20"/>
          <w:szCs w:val="20"/>
        </w:rPr>
      </w:pPr>
      <w:r>
        <w:rPr>
          <w:rFonts w:ascii="Arial" w:hAnsi="Arial" w:cs="Arial"/>
          <w:sz w:val="20"/>
          <w:szCs w:val="20"/>
        </w:rPr>
        <w:t>extending the difference between the original bands, not the band limits.</w:t>
      </w:r>
    </w:p>
    <w:p w14:paraId="58E26283" w14:textId="77777777" w:rsidR="00766DB6" w:rsidRDefault="00766DB6" w:rsidP="00766DB6">
      <w:pPr>
        <w:pStyle w:val="ListParagraph"/>
        <w:spacing w:before="60" w:after="60" w:line="240" w:lineRule="auto"/>
        <w:ind w:left="927"/>
        <w:contextualSpacing w:val="0"/>
        <w:jc w:val="both"/>
        <w:rPr>
          <w:rFonts w:ascii="Arial" w:hAnsi="Arial" w:cs="Arial"/>
          <w:sz w:val="20"/>
          <w:szCs w:val="20"/>
        </w:rPr>
      </w:pPr>
      <w:r>
        <w:rPr>
          <w:rFonts w:ascii="Arial" w:hAnsi="Arial" w:cs="Arial"/>
          <w:sz w:val="20"/>
          <w:szCs w:val="20"/>
        </w:rPr>
        <w:t xml:space="preserve">Note that </w:t>
      </w:r>
      <w:proofErr w:type="gramStart"/>
      <w:r>
        <w:rPr>
          <w:rFonts w:ascii="Arial" w:hAnsi="Arial" w:cs="Arial"/>
          <w:sz w:val="20"/>
          <w:szCs w:val="20"/>
        </w:rPr>
        <w:t>with the exception of</w:t>
      </w:r>
      <w:proofErr w:type="gramEnd"/>
      <w:r>
        <w:rPr>
          <w:rFonts w:ascii="Arial" w:hAnsi="Arial" w:cs="Arial"/>
          <w:sz w:val="20"/>
          <w:szCs w:val="20"/>
        </w:rPr>
        <w:t xml:space="preserve"> the starter rate, each band limit is extended by the same amount, therefore the difference between the revised bands (from the basic band upwards) remains the same as the difference between the original bands.</w:t>
      </w:r>
    </w:p>
    <w:p w14:paraId="7FEA2D41" w14:textId="77777777" w:rsidR="00766DB6" w:rsidRDefault="00766DB6" w:rsidP="00766DB6">
      <w:pPr>
        <w:pStyle w:val="ListParagraph"/>
        <w:numPr>
          <w:ilvl w:val="0"/>
          <w:numId w:val="2"/>
        </w:numPr>
        <w:spacing w:before="60" w:after="60" w:line="240" w:lineRule="auto"/>
        <w:contextualSpacing w:val="0"/>
        <w:jc w:val="both"/>
        <w:rPr>
          <w:rFonts w:ascii="Arial" w:hAnsi="Arial" w:cs="Arial"/>
          <w:sz w:val="20"/>
          <w:szCs w:val="20"/>
        </w:rPr>
      </w:pPr>
      <w:r>
        <w:rPr>
          <w:rFonts w:ascii="Arial" w:hAnsi="Arial" w:cs="Arial"/>
          <w:sz w:val="20"/>
          <w:szCs w:val="20"/>
        </w:rPr>
        <w:t>including in the extension th</w:t>
      </w:r>
      <w:r w:rsidRPr="00133E59">
        <w:rPr>
          <w:rFonts w:ascii="Arial" w:hAnsi="Arial" w:cs="Arial"/>
          <w:sz w:val="20"/>
          <w:szCs w:val="20"/>
        </w:rPr>
        <w:t>e</w:t>
      </w:r>
      <w:r>
        <w:rPr>
          <w:rFonts w:ascii="Arial" w:hAnsi="Arial" w:cs="Arial"/>
          <w:sz w:val="20"/>
          <w:szCs w:val="20"/>
        </w:rPr>
        <w:t xml:space="preserve"> occupational pension contributions made by the employee (and in some cases including by the employer contributions as well), sometimes grossed up and sometimes not.</w:t>
      </w:r>
    </w:p>
    <w:p w14:paraId="55D70582" w14:textId="77777777" w:rsidR="00766DB6" w:rsidRDefault="00766DB6" w:rsidP="00766DB6">
      <w:pPr>
        <w:pStyle w:val="ListParagraph"/>
        <w:numPr>
          <w:ilvl w:val="0"/>
          <w:numId w:val="1"/>
        </w:numPr>
        <w:spacing w:before="60" w:after="60" w:line="240" w:lineRule="auto"/>
        <w:ind w:left="567" w:hanging="567"/>
        <w:contextualSpacing w:val="0"/>
        <w:jc w:val="both"/>
        <w:rPr>
          <w:rFonts w:ascii="Arial" w:hAnsi="Arial" w:cs="Arial"/>
          <w:sz w:val="20"/>
          <w:szCs w:val="20"/>
        </w:rPr>
      </w:pPr>
      <w:bookmarkStart w:id="2" w:name="_Hlk215827946"/>
      <w:r>
        <w:rPr>
          <w:rFonts w:ascii="Arial" w:hAnsi="Arial" w:cs="Arial"/>
          <w:sz w:val="20"/>
          <w:szCs w:val="20"/>
        </w:rPr>
        <w:t>Incorrectly taxing the savings income by:</w:t>
      </w:r>
    </w:p>
    <w:p w14:paraId="34FB1F79" w14:textId="77777777" w:rsidR="00766DB6" w:rsidRDefault="00766DB6" w:rsidP="00766DB6">
      <w:pPr>
        <w:pStyle w:val="ListParagraph"/>
        <w:numPr>
          <w:ilvl w:val="0"/>
          <w:numId w:val="2"/>
        </w:numPr>
        <w:spacing w:before="60" w:after="60" w:line="240" w:lineRule="auto"/>
        <w:contextualSpacing w:val="0"/>
        <w:jc w:val="both"/>
        <w:rPr>
          <w:rFonts w:ascii="Arial" w:hAnsi="Arial" w:cs="Arial"/>
          <w:sz w:val="20"/>
          <w:szCs w:val="20"/>
        </w:rPr>
      </w:pPr>
      <w:r>
        <w:rPr>
          <w:rFonts w:ascii="Arial" w:hAnsi="Arial" w:cs="Arial"/>
          <w:sz w:val="20"/>
          <w:szCs w:val="20"/>
        </w:rPr>
        <w:t>Not giving a savings allowance at all, or incorrectly giving £1,000.</w:t>
      </w:r>
    </w:p>
    <w:p w14:paraId="20F3373B" w14:textId="77777777" w:rsidR="00766DB6" w:rsidRDefault="00766DB6" w:rsidP="00766DB6">
      <w:pPr>
        <w:pStyle w:val="ListParagraph"/>
        <w:numPr>
          <w:ilvl w:val="0"/>
          <w:numId w:val="2"/>
        </w:numPr>
        <w:spacing w:before="60" w:after="60" w:line="240" w:lineRule="auto"/>
        <w:contextualSpacing w:val="0"/>
        <w:jc w:val="both"/>
        <w:rPr>
          <w:rFonts w:ascii="Arial" w:hAnsi="Arial" w:cs="Arial"/>
          <w:sz w:val="20"/>
          <w:szCs w:val="20"/>
        </w:rPr>
      </w:pPr>
      <w:r>
        <w:rPr>
          <w:rFonts w:ascii="Arial" w:hAnsi="Arial" w:cs="Arial"/>
          <w:sz w:val="20"/>
          <w:szCs w:val="20"/>
        </w:rPr>
        <w:t xml:space="preserve">Taxing the excess over the savings allowance at the wrong rate (e.g. Scottish higher rate or rate for dividend income). </w:t>
      </w:r>
    </w:p>
    <w:bookmarkEnd w:id="2"/>
    <w:p w14:paraId="2D9A96D8" w14:textId="77777777" w:rsidR="00766DB6" w:rsidRDefault="00766DB6" w:rsidP="00766DB6">
      <w:pPr>
        <w:pStyle w:val="ListParagraph"/>
        <w:spacing w:before="60" w:after="60" w:line="240" w:lineRule="auto"/>
        <w:ind w:left="927"/>
        <w:contextualSpacing w:val="0"/>
        <w:jc w:val="both"/>
        <w:rPr>
          <w:rFonts w:ascii="Arial" w:hAnsi="Arial" w:cs="Arial"/>
          <w:sz w:val="20"/>
          <w:szCs w:val="20"/>
        </w:rPr>
      </w:pPr>
      <w:r>
        <w:rPr>
          <w:rFonts w:ascii="Arial" w:hAnsi="Arial" w:cs="Arial"/>
          <w:sz w:val="20"/>
          <w:szCs w:val="20"/>
        </w:rPr>
        <w:t xml:space="preserve">Note that, as it says in the tax tables, Scottish taxpayers only pay Scottish rate on non-savings income. Savings income for Scottish taxpayers </w:t>
      </w:r>
      <w:proofErr w:type="gramStart"/>
      <w:r>
        <w:rPr>
          <w:rFonts w:ascii="Arial" w:hAnsi="Arial" w:cs="Arial"/>
          <w:sz w:val="20"/>
          <w:szCs w:val="20"/>
        </w:rPr>
        <w:t>is</w:t>
      </w:r>
      <w:proofErr w:type="gramEnd"/>
      <w:r>
        <w:rPr>
          <w:rFonts w:ascii="Arial" w:hAnsi="Arial" w:cs="Arial"/>
          <w:sz w:val="20"/>
          <w:szCs w:val="20"/>
        </w:rPr>
        <w:t xml:space="preserve"> taxed at the same rate as all UK taxpayers.</w:t>
      </w:r>
    </w:p>
    <w:p w14:paraId="1E99B017" w14:textId="77777777" w:rsidR="00766DB6" w:rsidRPr="00133E59" w:rsidRDefault="00766DB6" w:rsidP="00766DB6">
      <w:pPr>
        <w:pStyle w:val="ListParagraph"/>
        <w:numPr>
          <w:ilvl w:val="0"/>
          <w:numId w:val="1"/>
        </w:numPr>
        <w:spacing w:before="60" w:after="60" w:line="240" w:lineRule="auto"/>
        <w:ind w:left="567" w:hanging="567"/>
        <w:contextualSpacing w:val="0"/>
        <w:jc w:val="both"/>
        <w:rPr>
          <w:rFonts w:ascii="Arial" w:hAnsi="Arial" w:cs="Arial"/>
          <w:sz w:val="20"/>
          <w:szCs w:val="20"/>
        </w:rPr>
      </w:pPr>
      <w:r w:rsidRPr="00133E59">
        <w:rPr>
          <w:rFonts w:ascii="Arial" w:hAnsi="Arial" w:cs="Arial"/>
          <w:sz w:val="20"/>
          <w:szCs w:val="20"/>
        </w:rPr>
        <w:t>Not stating that the employer pension contribution</w:t>
      </w:r>
      <w:r>
        <w:rPr>
          <w:rFonts w:ascii="Arial" w:hAnsi="Arial" w:cs="Arial"/>
          <w:sz w:val="20"/>
          <w:szCs w:val="20"/>
        </w:rPr>
        <w:t xml:space="preserve"> i</w:t>
      </w:r>
      <w:r w:rsidRPr="00133E59">
        <w:rPr>
          <w:rFonts w:ascii="Arial" w:hAnsi="Arial" w:cs="Arial"/>
          <w:sz w:val="20"/>
          <w:szCs w:val="20"/>
        </w:rPr>
        <w:t>s</w:t>
      </w:r>
      <w:r>
        <w:rPr>
          <w:rFonts w:ascii="Arial" w:hAnsi="Arial" w:cs="Arial"/>
          <w:sz w:val="20"/>
          <w:szCs w:val="20"/>
        </w:rPr>
        <w:t xml:space="preserve"> an</w:t>
      </w:r>
      <w:r w:rsidRPr="00133E59">
        <w:rPr>
          <w:rFonts w:ascii="Arial" w:hAnsi="Arial" w:cs="Arial"/>
          <w:sz w:val="20"/>
          <w:szCs w:val="20"/>
        </w:rPr>
        <w:t xml:space="preserve"> exempt benefit </w:t>
      </w:r>
    </w:p>
    <w:p w14:paraId="0905311C" w14:textId="77777777" w:rsidR="00766DB6" w:rsidRDefault="00766DB6" w:rsidP="00766DB6">
      <w:pPr>
        <w:pStyle w:val="ListParagraph"/>
        <w:numPr>
          <w:ilvl w:val="0"/>
          <w:numId w:val="1"/>
        </w:numPr>
        <w:spacing w:before="60" w:after="60" w:line="240" w:lineRule="auto"/>
        <w:ind w:left="567" w:hanging="567"/>
        <w:contextualSpacing w:val="0"/>
        <w:jc w:val="both"/>
        <w:rPr>
          <w:rFonts w:ascii="Arial" w:hAnsi="Arial" w:cs="Arial"/>
          <w:sz w:val="20"/>
          <w:szCs w:val="20"/>
        </w:rPr>
      </w:pPr>
      <w:bookmarkStart w:id="3" w:name="_Hlk215827589"/>
      <w:r w:rsidRPr="00133E59">
        <w:rPr>
          <w:rFonts w:ascii="Arial" w:hAnsi="Arial" w:cs="Arial"/>
          <w:sz w:val="20"/>
          <w:szCs w:val="20"/>
        </w:rPr>
        <w:t>Incorrect</w:t>
      </w:r>
      <w:r>
        <w:rPr>
          <w:rFonts w:ascii="Arial" w:hAnsi="Arial" w:cs="Arial"/>
          <w:sz w:val="20"/>
          <w:szCs w:val="20"/>
        </w:rPr>
        <w:t>ly calculating the company car related benefits by:</w:t>
      </w:r>
    </w:p>
    <w:bookmarkEnd w:id="3"/>
    <w:p w14:paraId="2739AEFA" w14:textId="77777777" w:rsidR="00766DB6" w:rsidRDefault="00766DB6" w:rsidP="00766DB6">
      <w:pPr>
        <w:pStyle w:val="ListParagraph"/>
        <w:numPr>
          <w:ilvl w:val="0"/>
          <w:numId w:val="2"/>
        </w:numPr>
        <w:spacing w:before="60" w:after="60" w:line="240" w:lineRule="auto"/>
        <w:contextualSpacing w:val="0"/>
        <w:jc w:val="both"/>
        <w:rPr>
          <w:rFonts w:ascii="Arial" w:hAnsi="Arial" w:cs="Arial"/>
          <w:sz w:val="20"/>
          <w:szCs w:val="20"/>
        </w:rPr>
      </w:pPr>
      <w:r>
        <w:rPr>
          <w:rFonts w:ascii="Arial" w:hAnsi="Arial" w:cs="Arial"/>
          <w:sz w:val="20"/>
          <w:szCs w:val="20"/>
        </w:rPr>
        <w:t>Selecting the incorrect percentage from the tax tables.</w:t>
      </w:r>
    </w:p>
    <w:p w14:paraId="6AFA8250" w14:textId="77777777" w:rsidR="00766DB6" w:rsidRDefault="00766DB6" w:rsidP="00766DB6">
      <w:pPr>
        <w:pStyle w:val="ListParagraph"/>
        <w:numPr>
          <w:ilvl w:val="0"/>
          <w:numId w:val="2"/>
        </w:numPr>
        <w:spacing w:before="60" w:after="60" w:line="240" w:lineRule="auto"/>
        <w:contextualSpacing w:val="0"/>
        <w:jc w:val="both"/>
        <w:rPr>
          <w:rFonts w:ascii="Arial" w:hAnsi="Arial" w:cs="Arial"/>
          <w:sz w:val="20"/>
          <w:szCs w:val="20"/>
        </w:rPr>
      </w:pPr>
      <w:r>
        <w:rPr>
          <w:rFonts w:ascii="Arial" w:hAnsi="Arial" w:cs="Arial"/>
          <w:sz w:val="20"/>
          <w:szCs w:val="20"/>
        </w:rPr>
        <w:t>Not time apportioning, or incorrectly time apportioning, the benefit as the car was only available for 5 months.</w:t>
      </w:r>
    </w:p>
    <w:p w14:paraId="27661A92" w14:textId="77777777" w:rsidR="00766DB6" w:rsidRDefault="00766DB6" w:rsidP="00766DB6">
      <w:pPr>
        <w:pStyle w:val="ListParagraph"/>
        <w:numPr>
          <w:ilvl w:val="0"/>
          <w:numId w:val="2"/>
        </w:numPr>
        <w:spacing w:before="60" w:after="60" w:line="240" w:lineRule="auto"/>
        <w:contextualSpacing w:val="0"/>
        <w:jc w:val="both"/>
        <w:rPr>
          <w:rFonts w:ascii="Arial" w:hAnsi="Arial" w:cs="Arial"/>
          <w:sz w:val="20"/>
          <w:szCs w:val="20"/>
        </w:rPr>
      </w:pPr>
      <w:r>
        <w:rPr>
          <w:rFonts w:ascii="Arial" w:hAnsi="Arial" w:cs="Arial"/>
          <w:sz w:val="20"/>
          <w:szCs w:val="20"/>
        </w:rPr>
        <w:t>Not restricting the capital contribution deduction from the list price to the maximum of £5,000.</w:t>
      </w:r>
    </w:p>
    <w:p w14:paraId="13160EE9" w14:textId="77777777" w:rsidR="00766DB6" w:rsidRDefault="00766DB6" w:rsidP="00766DB6">
      <w:pPr>
        <w:pStyle w:val="ListParagraph"/>
        <w:numPr>
          <w:ilvl w:val="0"/>
          <w:numId w:val="2"/>
        </w:numPr>
        <w:spacing w:before="60" w:after="60" w:line="240" w:lineRule="auto"/>
        <w:contextualSpacing w:val="0"/>
        <w:jc w:val="both"/>
        <w:rPr>
          <w:rFonts w:ascii="Arial" w:hAnsi="Arial" w:cs="Arial"/>
          <w:sz w:val="20"/>
          <w:szCs w:val="20"/>
        </w:rPr>
      </w:pPr>
      <w:r>
        <w:rPr>
          <w:rFonts w:ascii="Arial" w:hAnsi="Arial" w:cs="Arial"/>
          <w:sz w:val="20"/>
          <w:szCs w:val="20"/>
        </w:rPr>
        <w:lastRenderedPageBreak/>
        <w:t>Deducting the capital contribution from the actual car benefit.</w:t>
      </w:r>
    </w:p>
    <w:p w14:paraId="5046B924" w14:textId="62527178" w:rsidR="00766DB6" w:rsidRPr="00313EB1" w:rsidRDefault="00766DB6" w:rsidP="00766DB6">
      <w:pPr>
        <w:pStyle w:val="ListParagraph"/>
        <w:numPr>
          <w:ilvl w:val="0"/>
          <w:numId w:val="2"/>
        </w:numPr>
        <w:spacing w:before="60" w:after="60" w:line="240" w:lineRule="auto"/>
        <w:contextualSpacing w:val="0"/>
        <w:jc w:val="both"/>
        <w:rPr>
          <w:rFonts w:ascii="Arial" w:hAnsi="Arial" w:cs="Arial"/>
          <w:sz w:val="20"/>
          <w:szCs w:val="20"/>
        </w:rPr>
      </w:pPr>
      <w:r w:rsidRPr="00313EB1">
        <w:rPr>
          <w:rFonts w:ascii="Arial" w:hAnsi="Arial" w:cs="Arial"/>
          <w:sz w:val="20"/>
          <w:szCs w:val="20"/>
        </w:rPr>
        <w:t>Calculating a benefit for private fuel, but no private fuel was provided by the company.</w:t>
      </w:r>
    </w:p>
    <w:p w14:paraId="44397245" w14:textId="77777777" w:rsidR="00766DB6" w:rsidRDefault="00766DB6" w:rsidP="00766DB6">
      <w:pPr>
        <w:pStyle w:val="ListParagraph"/>
        <w:spacing w:before="60" w:after="60" w:line="240" w:lineRule="auto"/>
        <w:ind w:left="927"/>
        <w:contextualSpacing w:val="0"/>
        <w:jc w:val="both"/>
        <w:rPr>
          <w:rFonts w:ascii="Arial" w:hAnsi="Arial" w:cs="Arial"/>
          <w:sz w:val="20"/>
          <w:szCs w:val="20"/>
        </w:rPr>
      </w:pPr>
    </w:p>
    <w:p w14:paraId="6AE192E3" w14:textId="77777777" w:rsidR="00766DB6" w:rsidRPr="00313EB1" w:rsidRDefault="00766DB6" w:rsidP="00766DB6">
      <w:pPr>
        <w:pStyle w:val="ListParagraph"/>
        <w:numPr>
          <w:ilvl w:val="0"/>
          <w:numId w:val="1"/>
        </w:numPr>
        <w:spacing w:before="60" w:after="60" w:line="240" w:lineRule="auto"/>
        <w:ind w:left="567" w:hanging="567"/>
        <w:contextualSpacing w:val="0"/>
        <w:jc w:val="both"/>
        <w:rPr>
          <w:rFonts w:ascii="Arial" w:hAnsi="Arial" w:cs="Arial"/>
          <w:sz w:val="20"/>
          <w:szCs w:val="20"/>
        </w:rPr>
      </w:pPr>
      <w:r w:rsidRPr="00313EB1">
        <w:rPr>
          <w:rFonts w:ascii="Arial" w:hAnsi="Arial" w:cs="Arial"/>
          <w:sz w:val="20"/>
          <w:szCs w:val="20"/>
        </w:rPr>
        <w:t xml:space="preserve">Incorrectly calculating the use of own car benefit by </w:t>
      </w:r>
      <w:r>
        <w:rPr>
          <w:rFonts w:ascii="Arial" w:hAnsi="Arial" w:cs="Arial"/>
          <w:sz w:val="20"/>
          <w:szCs w:val="20"/>
        </w:rPr>
        <w:t>n</w:t>
      </w:r>
      <w:r w:rsidRPr="00313EB1">
        <w:rPr>
          <w:rFonts w:ascii="Arial" w:hAnsi="Arial" w:cs="Arial"/>
          <w:sz w:val="20"/>
          <w:szCs w:val="20"/>
        </w:rPr>
        <w:t>ot realising that the employer contribution was given for all mileage, not just business mileage, and therefore omitting to tax the private mileage benefit</w:t>
      </w:r>
      <w:r>
        <w:rPr>
          <w:rFonts w:ascii="Arial" w:hAnsi="Arial" w:cs="Arial"/>
          <w:sz w:val="20"/>
          <w:szCs w:val="20"/>
        </w:rPr>
        <w:t>.</w:t>
      </w:r>
    </w:p>
    <w:p w14:paraId="6ACCF5CA" w14:textId="77777777" w:rsidR="00766DB6" w:rsidRDefault="00766DB6" w:rsidP="00766DB6">
      <w:pPr>
        <w:pStyle w:val="ListParagraph"/>
        <w:numPr>
          <w:ilvl w:val="0"/>
          <w:numId w:val="1"/>
        </w:numPr>
        <w:spacing w:before="60" w:after="60" w:line="240" w:lineRule="auto"/>
        <w:ind w:left="567" w:hanging="567"/>
        <w:contextualSpacing w:val="0"/>
        <w:jc w:val="both"/>
        <w:rPr>
          <w:rFonts w:ascii="Arial" w:hAnsi="Arial" w:cs="Arial"/>
          <w:sz w:val="20"/>
          <w:szCs w:val="20"/>
        </w:rPr>
      </w:pPr>
      <w:r>
        <w:rPr>
          <w:rFonts w:ascii="Arial" w:hAnsi="Arial" w:cs="Arial"/>
          <w:sz w:val="20"/>
          <w:szCs w:val="20"/>
        </w:rPr>
        <w:t>Incorrectly dealing with the living accommodation benefits by:</w:t>
      </w:r>
    </w:p>
    <w:p w14:paraId="53FE32CE" w14:textId="77777777" w:rsidR="00766DB6" w:rsidRPr="00313EB1" w:rsidRDefault="00766DB6" w:rsidP="00766DB6">
      <w:pPr>
        <w:pStyle w:val="ListParagraph"/>
        <w:numPr>
          <w:ilvl w:val="0"/>
          <w:numId w:val="2"/>
        </w:numPr>
        <w:spacing w:before="60" w:after="60" w:line="240" w:lineRule="auto"/>
        <w:contextualSpacing w:val="0"/>
        <w:jc w:val="both"/>
        <w:rPr>
          <w:rFonts w:ascii="Arial" w:hAnsi="Arial" w:cs="Arial"/>
          <w:sz w:val="20"/>
          <w:szCs w:val="20"/>
        </w:rPr>
      </w:pPr>
      <w:r>
        <w:rPr>
          <w:rFonts w:ascii="Arial" w:hAnsi="Arial" w:cs="Arial"/>
          <w:sz w:val="20"/>
          <w:szCs w:val="20"/>
        </w:rPr>
        <w:t>U</w:t>
      </w:r>
      <w:r w:rsidRPr="00313EB1">
        <w:rPr>
          <w:rFonts w:ascii="Arial" w:hAnsi="Arial" w:cs="Arial"/>
          <w:sz w:val="20"/>
          <w:szCs w:val="20"/>
        </w:rPr>
        <w:t>sing the market value</w:t>
      </w:r>
      <w:r>
        <w:rPr>
          <w:rFonts w:ascii="Arial" w:hAnsi="Arial" w:cs="Arial"/>
          <w:sz w:val="20"/>
          <w:szCs w:val="20"/>
        </w:rPr>
        <w:t xml:space="preserve"> when the employee moved in</w:t>
      </w:r>
      <w:r w:rsidRPr="00313EB1">
        <w:rPr>
          <w:rFonts w:ascii="Arial" w:hAnsi="Arial" w:cs="Arial"/>
          <w:sz w:val="20"/>
          <w:szCs w:val="20"/>
        </w:rPr>
        <w:t xml:space="preserve">, rather than original cost, of the house in the calculation of the </w:t>
      </w:r>
      <w:bookmarkStart w:id="4" w:name="_Hlk215829474"/>
      <w:r>
        <w:rPr>
          <w:rFonts w:ascii="Arial" w:hAnsi="Arial" w:cs="Arial"/>
          <w:sz w:val="20"/>
          <w:szCs w:val="20"/>
        </w:rPr>
        <w:t>‘</w:t>
      </w:r>
      <w:r w:rsidRPr="00313EB1">
        <w:rPr>
          <w:rFonts w:ascii="Arial" w:hAnsi="Arial" w:cs="Arial"/>
          <w:sz w:val="20"/>
          <w:szCs w:val="20"/>
        </w:rPr>
        <w:t>additional yearly rent</w:t>
      </w:r>
      <w:r>
        <w:rPr>
          <w:rFonts w:ascii="Arial" w:hAnsi="Arial" w:cs="Arial"/>
          <w:sz w:val="20"/>
          <w:szCs w:val="20"/>
        </w:rPr>
        <w:t>’</w:t>
      </w:r>
      <w:r w:rsidRPr="00313EB1">
        <w:rPr>
          <w:rFonts w:ascii="Arial" w:hAnsi="Arial" w:cs="Arial"/>
          <w:sz w:val="20"/>
          <w:szCs w:val="20"/>
        </w:rPr>
        <w:t xml:space="preserve"> benefit</w:t>
      </w:r>
      <w:bookmarkEnd w:id="4"/>
      <w:r>
        <w:rPr>
          <w:rFonts w:ascii="Arial" w:hAnsi="Arial" w:cs="Arial"/>
          <w:sz w:val="20"/>
          <w:szCs w:val="20"/>
        </w:rPr>
        <w:t>.</w:t>
      </w:r>
    </w:p>
    <w:p w14:paraId="59EFDC61" w14:textId="77777777" w:rsidR="00766DB6" w:rsidRDefault="00766DB6" w:rsidP="00766DB6">
      <w:pPr>
        <w:pStyle w:val="ListParagraph"/>
        <w:numPr>
          <w:ilvl w:val="0"/>
          <w:numId w:val="2"/>
        </w:numPr>
        <w:spacing w:before="60" w:after="60" w:line="240" w:lineRule="auto"/>
        <w:contextualSpacing w:val="0"/>
        <w:jc w:val="both"/>
        <w:rPr>
          <w:rFonts w:ascii="Arial" w:hAnsi="Arial" w:cs="Arial"/>
          <w:sz w:val="20"/>
          <w:szCs w:val="20"/>
        </w:rPr>
      </w:pPr>
      <w:r>
        <w:rPr>
          <w:rFonts w:ascii="Arial" w:hAnsi="Arial" w:cs="Arial"/>
          <w:sz w:val="20"/>
          <w:szCs w:val="20"/>
        </w:rPr>
        <w:t xml:space="preserve">Forgetting to deduct the £75,000 limit </w:t>
      </w:r>
      <w:r w:rsidRPr="00313EB1">
        <w:rPr>
          <w:rFonts w:ascii="Arial" w:hAnsi="Arial" w:cs="Arial"/>
          <w:sz w:val="20"/>
          <w:szCs w:val="20"/>
        </w:rPr>
        <w:t xml:space="preserve">in the calculation of the </w:t>
      </w:r>
      <w:r>
        <w:rPr>
          <w:rFonts w:ascii="Arial" w:hAnsi="Arial" w:cs="Arial"/>
          <w:sz w:val="20"/>
          <w:szCs w:val="20"/>
        </w:rPr>
        <w:t>‘</w:t>
      </w:r>
      <w:r w:rsidRPr="00313EB1">
        <w:rPr>
          <w:rFonts w:ascii="Arial" w:hAnsi="Arial" w:cs="Arial"/>
          <w:sz w:val="20"/>
          <w:szCs w:val="20"/>
        </w:rPr>
        <w:t>additional yearly rent</w:t>
      </w:r>
      <w:r>
        <w:rPr>
          <w:rFonts w:ascii="Arial" w:hAnsi="Arial" w:cs="Arial"/>
          <w:sz w:val="20"/>
          <w:szCs w:val="20"/>
        </w:rPr>
        <w:t>’</w:t>
      </w:r>
      <w:r w:rsidRPr="00313EB1">
        <w:rPr>
          <w:rFonts w:ascii="Arial" w:hAnsi="Arial" w:cs="Arial"/>
          <w:sz w:val="20"/>
          <w:szCs w:val="20"/>
        </w:rPr>
        <w:t xml:space="preserve"> benefit</w:t>
      </w:r>
      <w:r>
        <w:rPr>
          <w:rFonts w:ascii="Arial" w:hAnsi="Arial" w:cs="Arial"/>
          <w:sz w:val="20"/>
          <w:szCs w:val="20"/>
        </w:rPr>
        <w:t>.</w:t>
      </w:r>
    </w:p>
    <w:p w14:paraId="61E66362" w14:textId="77777777" w:rsidR="00766DB6" w:rsidRDefault="00766DB6" w:rsidP="00766DB6">
      <w:pPr>
        <w:pStyle w:val="ListParagraph"/>
        <w:numPr>
          <w:ilvl w:val="0"/>
          <w:numId w:val="2"/>
        </w:numPr>
        <w:spacing w:before="60" w:after="60" w:line="240" w:lineRule="auto"/>
        <w:contextualSpacing w:val="0"/>
        <w:jc w:val="both"/>
        <w:rPr>
          <w:rFonts w:ascii="Arial" w:hAnsi="Arial" w:cs="Arial"/>
          <w:sz w:val="20"/>
          <w:szCs w:val="20"/>
        </w:rPr>
      </w:pPr>
      <w:r w:rsidRPr="004B670B">
        <w:rPr>
          <w:rFonts w:ascii="Arial" w:hAnsi="Arial" w:cs="Arial"/>
          <w:sz w:val="20"/>
          <w:szCs w:val="20"/>
        </w:rPr>
        <w:t xml:space="preserve">Not stating that because the </w:t>
      </w:r>
      <w:proofErr w:type="gramStart"/>
      <w:r w:rsidRPr="004B670B">
        <w:rPr>
          <w:rFonts w:ascii="Arial" w:hAnsi="Arial" w:cs="Arial"/>
          <w:sz w:val="20"/>
          <w:szCs w:val="20"/>
        </w:rPr>
        <w:t>tax payer</w:t>
      </w:r>
      <w:proofErr w:type="gramEnd"/>
      <w:r w:rsidRPr="004B670B">
        <w:rPr>
          <w:rFonts w:ascii="Arial" w:hAnsi="Arial" w:cs="Arial"/>
          <w:sz w:val="20"/>
          <w:szCs w:val="20"/>
        </w:rPr>
        <w:t xml:space="preserve"> bought the furniture and paid the household bills, there is no ‘use of assets’ or ‘household expenses’ benefits (as the employer did not pay for them). </w:t>
      </w:r>
    </w:p>
    <w:p w14:paraId="5E7F80E3" w14:textId="77777777" w:rsidR="00766DB6" w:rsidRPr="00133E59" w:rsidRDefault="00766DB6" w:rsidP="00766DB6">
      <w:pPr>
        <w:spacing w:before="60" w:after="60" w:line="240" w:lineRule="auto"/>
        <w:rPr>
          <w:rFonts w:ascii="Arial" w:hAnsi="Arial" w:cs="Arial"/>
          <w:b/>
          <w:bCs/>
          <w:sz w:val="8"/>
          <w:szCs w:val="8"/>
          <w:u w:val="single"/>
        </w:rPr>
      </w:pPr>
    </w:p>
    <w:p w14:paraId="5C807FF2" w14:textId="77777777" w:rsidR="00766DB6" w:rsidRPr="00133E59" w:rsidRDefault="00766DB6" w:rsidP="00766DB6">
      <w:pPr>
        <w:spacing w:before="60" w:after="60" w:line="240" w:lineRule="auto"/>
        <w:jc w:val="both"/>
        <w:rPr>
          <w:rFonts w:ascii="Arial" w:hAnsi="Arial" w:cs="Arial"/>
          <w:sz w:val="20"/>
          <w:szCs w:val="20"/>
        </w:rPr>
      </w:pPr>
      <w:r w:rsidRPr="00133E59">
        <w:rPr>
          <w:rFonts w:ascii="Arial" w:hAnsi="Arial" w:cs="Arial"/>
          <w:sz w:val="20"/>
          <w:szCs w:val="20"/>
        </w:rPr>
        <w:t>Part (2) of this question was answered</w:t>
      </w:r>
      <w:r>
        <w:rPr>
          <w:rFonts w:ascii="Arial" w:hAnsi="Arial" w:cs="Arial"/>
          <w:sz w:val="20"/>
          <w:szCs w:val="20"/>
        </w:rPr>
        <w:t xml:space="preserve"> quite well</w:t>
      </w:r>
      <w:r w:rsidRPr="00133E59">
        <w:rPr>
          <w:rFonts w:ascii="Arial" w:hAnsi="Arial" w:cs="Arial"/>
          <w:sz w:val="20"/>
          <w:szCs w:val="20"/>
        </w:rPr>
        <w:t xml:space="preserve">. </w:t>
      </w:r>
    </w:p>
    <w:p w14:paraId="48B94DF1" w14:textId="77777777" w:rsidR="00766DB6" w:rsidRDefault="00766DB6" w:rsidP="00766DB6">
      <w:pPr>
        <w:spacing w:before="60" w:after="60" w:line="240" w:lineRule="auto"/>
        <w:jc w:val="both"/>
        <w:rPr>
          <w:rFonts w:ascii="Arial" w:hAnsi="Arial" w:cs="Arial"/>
          <w:sz w:val="20"/>
          <w:szCs w:val="20"/>
        </w:rPr>
      </w:pPr>
      <w:r>
        <w:rPr>
          <w:rFonts w:ascii="Arial" w:hAnsi="Arial" w:cs="Arial"/>
          <w:sz w:val="20"/>
          <w:szCs w:val="20"/>
        </w:rPr>
        <w:t>Many got no marks for the due dates of payment as they did not give any due dates, or gave incorrect dates, or just gave the generic rule and no date, or gave the general rule but then applied it incorrectly and gave the wrong dates.</w:t>
      </w:r>
    </w:p>
    <w:p w14:paraId="07EFE707" w14:textId="77777777" w:rsidR="00766DB6" w:rsidRDefault="00766DB6" w:rsidP="00766DB6">
      <w:pPr>
        <w:spacing w:before="60" w:after="60" w:line="240" w:lineRule="auto"/>
        <w:jc w:val="both"/>
        <w:rPr>
          <w:rFonts w:ascii="Arial" w:hAnsi="Arial" w:cs="Arial"/>
          <w:sz w:val="20"/>
          <w:szCs w:val="20"/>
        </w:rPr>
      </w:pPr>
      <w:r>
        <w:rPr>
          <w:rFonts w:ascii="Arial" w:hAnsi="Arial" w:cs="Arial"/>
          <w:sz w:val="20"/>
          <w:szCs w:val="20"/>
        </w:rPr>
        <w:t>Follow through marks were given in this part provided it was clear that the Class 1A NICs were just being calculated on the taxable benefits the candidates calculated in Part (1).</w:t>
      </w:r>
    </w:p>
    <w:p w14:paraId="197EAE2B" w14:textId="77777777" w:rsidR="00766DB6" w:rsidRPr="00133E59" w:rsidRDefault="00766DB6" w:rsidP="00766DB6">
      <w:pPr>
        <w:spacing w:before="60" w:after="60" w:line="240" w:lineRule="auto"/>
        <w:rPr>
          <w:rFonts w:ascii="Arial" w:hAnsi="Arial" w:cs="Arial"/>
          <w:b/>
          <w:bCs/>
          <w:sz w:val="8"/>
          <w:szCs w:val="8"/>
          <w:u w:val="single"/>
        </w:rPr>
      </w:pPr>
    </w:p>
    <w:p w14:paraId="2BEC6B0F" w14:textId="77777777" w:rsidR="00766DB6" w:rsidRDefault="00766DB6" w:rsidP="00766DB6">
      <w:pPr>
        <w:spacing w:before="60" w:after="60" w:line="240" w:lineRule="auto"/>
        <w:jc w:val="both"/>
        <w:rPr>
          <w:rFonts w:ascii="Arial" w:hAnsi="Arial" w:cs="Arial"/>
          <w:sz w:val="20"/>
          <w:szCs w:val="20"/>
        </w:rPr>
      </w:pPr>
      <w:r>
        <w:rPr>
          <w:rFonts w:ascii="Arial" w:hAnsi="Arial" w:cs="Arial"/>
          <w:sz w:val="20"/>
          <w:szCs w:val="20"/>
        </w:rPr>
        <w:t>Almost all candidates that attempted part (3) received only half of the one mark available for this part.</w:t>
      </w:r>
    </w:p>
    <w:p w14:paraId="27D3E436" w14:textId="77777777" w:rsidR="00766DB6" w:rsidRDefault="00766DB6" w:rsidP="00766DB6">
      <w:pPr>
        <w:spacing w:before="60" w:after="60" w:line="240" w:lineRule="auto"/>
        <w:jc w:val="both"/>
        <w:rPr>
          <w:rFonts w:ascii="Arial" w:hAnsi="Arial" w:cs="Arial"/>
          <w:sz w:val="20"/>
          <w:szCs w:val="20"/>
        </w:rPr>
      </w:pPr>
      <w:r w:rsidRPr="00133E59">
        <w:rPr>
          <w:rFonts w:ascii="Arial" w:hAnsi="Arial" w:cs="Arial"/>
          <w:sz w:val="20"/>
          <w:szCs w:val="20"/>
        </w:rPr>
        <w:t>M</w:t>
      </w:r>
      <w:r>
        <w:rPr>
          <w:rFonts w:ascii="Arial" w:hAnsi="Arial" w:cs="Arial"/>
          <w:sz w:val="20"/>
          <w:szCs w:val="20"/>
        </w:rPr>
        <w:t xml:space="preserve">ost correctly identified that there would be no taxable benefit arising if the accommodation were job-related, but failed to explain why. </w:t>
      </w:r>
    </w:p>
    <w:p w14:paraId="06E6A338" w14:textId="77777777" w:rsidR="00766DB6" w:rsidRDefault="00766DB6" w:rsidP="00766DB6">
      <w:pPr>
        <w:spacing w:before="60" w:after="60" w:line="240" w:lineRule="auto"/>
        <w:jc w:val="both"/>
        <w:rPr>
          <w:rFonts w:ascii="Arial" w:hAnsi="Arial" w:cs="Arial"/>
          <w:sz w:val="20"/>
          <w:szCs w:val="20"/>
        </w:rPr>
      </w:pPr>
      <w:r>
        <w:rPr>
          <w:rFonts w:ascii="Arial" w:hAnsi="Arial" w:cs="Arial"/>
          <w:sz w:val="20"/>
          <w:szCs w:val="20"/>
        </w:rPr>
        <w:t xml:space="preserve">The </w:t>
      </w:r>
      <w:r w:rsidRPr="00133E59">
        <w:rPr>
          <w:rFonts w:ascii="Arial" w:hAnsi="Arial" w:cs="Arial"/>
          <w:sz w:val="20"/>
          <w:szCs w:val="20"/>
        </w:rPr>
        <w:t xml:space="preserve">requirement specifically </w:t>
      </w:r>
      <w:r>
        <w:rPr>
          <w:rFonts w:ascii="Arial" w:hAnsi="Arial" w:cs="Arial"/>
          <w:sz w:val="20"/>
          <w:szCs w:val="20"/>
        </w:rPr>
        <w:t>asked for the reason why there would be no benefits, it did not ask for the definition of job-related accommodation which is what most candidates wasted time giving.</w:t>
      </w:r>
    </w:p>
    <w:p w14:paraId="59104647" w14:textId="77777777" w:rsidR="00766DB6" w:rsidRDefault="00766DB6" w:rsidP="00766DB6">
      <w:pPr>
        <w:spacing w:before="60" w:after="60" w:line="240" w:lineRule="auto"/>
        <w:jc w:val="both"/>
        <w:rPr>
          <w:rFonts w:ascii="Arial" w:hAnsi="Arial" w:cs="Arial"/>
          <w:sz w:val="20"/>
          <w:szCs w:val="20"/>
        </w:rPr>
      </w:pPr>
      <w:r>
        <w:rPr>
          <w:rFonts w:ascii="Arial" w:hAnsi="Arial" w:cs="Arial"/>
          <w:sz w:val="20"/>
          <w:szCs w:val="20"/>
        </w:rPr>
        <w:t>The answer required an explanation that if the accommodation is job-related, the ‘basic’ benefit and the ‘</w:t>
      </w:r>
      <w:r w:rsidRPr="00313EB1">
        <w:rPr>
          <w:rFonts w:ascii="Arial" w:hAnsi="Arial" w:cs="Arial"/>
          <w:sz w:val="20"/>
          <w:szCs w:val="20"/>
        </w:rPr>
        <w:t>additional yearly rent</w:t>
      </w:r>
      <w:r>
        <w:rPr>
          <w:rFonts w:ascii="Arial" w:hAnsi="Arial" w:cs="Arial"/>
          <w:sz w:val="20"/>
          <w:szCs w:val="20"/>
        </w:rPr>
        <w:t>’</w:t>
      </w:r>
      <w:r w:rsidRPr="00313EB1">
        <w:rPr>
          <w:rFonts w:ascii="Arial" w:hAnsi="Arial" w:cs="Arial"/>
          <w:sz w:val="20"/>
          <w:szCs w:val="20"/>
        </w:rPr>
        <w:t xml:space="preserve"> benefit</w:t>
      </w:r>
      <w:r>
        <w:rPr>
          <w:rFonts w:ascii="Arial" w:hAnsi="Arial" w:cs="Arial"/>
          <w:sz w:val="20"/>
          <w:szCs w:val="20"/>
        </w:rPr>
        <w:t xml:space="preserve"> are exempt. </w:t>
      </w:r>
    </w:p>
    <w:p w14:paraId="6064EEB4" w14:textId="77777777" w:rsidR="00766DB6" w:rsidRDefault="00766DB6" w:rsidP="00766DB6">
      <w:pPr>
        <w:spacing w:before="60" w:after="60" w:line="240" w:lineRule="auto"/>
        <w:jc w:val="both"/>
        <w:rPr>
          <w:rFonts w:ascii="Arial" w:hAnsi="Arial" w:cs="Arial"/>
          <w:sz w:val="20"/>
          <w:szCs w:val="20"/>
        </w:rPr>
      </w:pPr>
      <w:r>
        <w:rPr>
          <w:rFonts w:ascii="Arial" w:hAnsi="Arial" w:cs="Arial"/>
          <w:sz w:val="20"/>
          <w:szCs w:val="20"/>
        </w:rPr>
        <w:t>The ‘use of assets’ benefit and ‘household expenses’ benefit would still normally be assessable if the accommodation is job-related, subject to a maximum of 10% of employment income. However, there would be no benefit in this scenario as there is no ‘use of asset’ benefit or ‘household expenses’ benefit arising.</w:t>
      </w:r>
    </w:p>
    <w:p w14:paraId="1B265239" w14:textId="77777777" w:rsidR="00766DB6" w:rsidRPr="00C42DD7" w:rsidRDefault="00766DB6" w:rsidP="00766DB6">
      <w:pPr>
        <w:spacing w:before="60" w:after="60" w:line="240" w:lineRule="auto"/>
        <w:jc w:val="both"/>
        <w:rPr>
          <w:rFonts w:ascii="Arial" w:hAnsi="Arial" w:cs="Arial"/>
          <w:b/>
          <w:bCs/>
          <w:sz w:val="12"/>
          <w:szCs w:val="12"/>
        </w:rPr>
      </w:pPr>
    </w:p>
    <w:p w14:paraId="04B348C4" w14:textId="1FD1E8AC" w:rsidR="00722D56" w:rsidRPr="00D50303" w:rsidRDefault="00722D56" w:rsidP="00722D56">
      <w:pPr>
        <w:rPr>
          <w:rFonts w:ascii="Arial" w:hAnsi="Arial" w:cs="Arial"/>
          <w:color w:val="4472C4" w:themeColor="accent1"/>
          <w:sz w:val="20"/>
          <w:szCs w:val="20"/>
        </w:rPr>
      </w:pPr>
      <w:r w:rsidRPr="00D50303">
        <w:rPr>
          <w:rFonts w:ascii="Arial" w:hAnsi="Arial" w:cs="Arial"/>
          <w:b/>
          <w:bCs/>
          <w:sz w:val="20"/>
          <w:szCs w:val="20"/>
        </w:rPr>
        <w:t xml:space="preserve">Question </w:t>
      </w:r>
      <w:r>
        <w:rPr>
          <w:rFonts w:ascii="Arial" w:hAnsi="Arial" w:cs="Arial"/>
          <w:b/>
          <w:bCs/>
          <w:sz w:val="20"/>
          <w:szCs w:val="20"/>
        </w:rPr>
        <w:t>2</w:t>
      </w:r>
    </w:p>
    <w:p w14:paraId="6CFB49A9" w14:textId="77777777" w:rsidR="00722D56" w:rsidRDefault="00722D56" w:rsidP="00722D56">
      <w:pPr>
        <w:rPr>
          <w:rFonts w:ascii="Arial" w:hAnsi="Arial" w:cs="Arial"/>
          <w:sz w:val="20"/>
          <w:szCs w:val="20"/>
        </w:rPr>
      </w:pPr>
      <w:r>
        <w:rPr>
          <w:rFonts w:ascii="Arial" w:hAnsi="Arial" w:cs="Arial"/>
          <w:sz w:val="20"/>
          <w:szCs w:val="20"/>
        </w:rPr>
        <w:t>This question tested candidates’ knowledge of Pre-Owned Asset Tax (2.1) and CGT on the takeover of a company partly for cash consideration and partly for QCB’s which were later partly disposed of (2.2).</w:t>
      </w:r>
    </w:p>
    <w:p w14:paraId="7F45DD04" w14:textId="77777777" w:rsidR="00722D56" w:rsidRDefault="00722D56" w:rsidP="00722D56">
      <w:pPr>
        <w:rPr>
          <w:rFonts w:ascii="Arial" w:hAnsi="Arial" w:cs="Arial"/>
          <w:sz w:val="20"/>
          <w:szCs w:val="20"/>
        </w:rPr>
      </w:pPr>
      <w:r>
        <w:rPr>
          <w:rFonts w:ascii="Arial" w:hAnsi="Arial" w:cs="Arial"/>
          <w:sz w:val="20"/>
          <w:szCs w:val="20"/>
        </w:rPr>
        <w:t>The first part of the question required candidates to identify that POAT was in point and then to calculate the tax given three potential values – the original acquisition value, a value after 5 years and a current value. The candidates then needed to compare the result to the de-minimis to conclude that there was no charge to income tax as the annual charge fell below this threshold.</w:t>
      </w:r>
    </w:p>
    <w:p w14:paraId="363CCFC6" w14:textId="77777777" w:rsidR="00722D56" w:rsidRDefault="00722D56" w:rsidP="00722D56">
      <w:pPr>
        <w:rPr>
          <w:rFonts w:ascii="Arial" w:hAnsi="Arial" w:cs="Arial"/>
          <w:sz w:val="20"/>
          <w:szCs w:val="20"/>
        </w:rPr>
      </w:pPr>
      <w:r>
        <w:rPr>
          <w:rFonts w:ascii="Arial" w:hAnsi="Arial" w:cs="Arial"/>
          <w:sz w:val="20"/>
          <w:szCs w:val="20"/>
        </w:rPr>
        <w:t xml:space="preserve">This part of the question was generally poorly answered. Over one quarter of candidates despite answering the question failed to score any marks, talking about gifts with reservation when this was clearly stated not to apply in the question facts or simply saying that income tax was not relevant, or that capital gains tax applied despite Mrs Hubert gifting cash which is not a chargeable asset for CGT purposes and the question clearly asking for the Income Tax implications of the scenario. Over half of candidates scored one mark or less by either 1) going directly to the calculation or 2) stating that POAT applied but not stating the full criteria for this to apply (two of which were given in the question facts), of those that scored more than two marks the majority lost marks by choosing the wrong value to apply the ORI to by choosing either the original acquisition cost or most frequently the current market value. Better candidates scored three and a half marks by using the correct value but forgetting to test the result against the de-minimis. A very few candidates scored full marks answering </w:t>
      </w:r>
      <w:r>
        <w:rPr>
          <w:rFonts w:ascii="Arial" w:hAnsi="Arial" w:cs="Arial"/>
          <w:sz w:val="20"/>
          <w:szCs w:val="20"/>
        </w:rPr>
        <w:lastRenderedPageBreak/>
        <w:t>methodically and taking each step, in turn, to provide a fully considered answer. Less than half of candidates passed this part of the question.</w:t>
      </w:r>
    </w:p>
    <w:p w14:paraId="55FBB95E" w14:textId="77777777" w:rsidR="00722D56" w:rsidRDefault="00722D56" w:rsidP="00722D56">
      <w:pPr>
        <w:rPr>
          <w:rFonts w:ascii="Arial" w:hAnsi="Arial" w:cs="Arial"/>
          <w:sz w:val="20"/>
          <w:szCs w:val="20"/>
        </w:rPr>
      </w:pPr>
      <w:r>
        <w:rPr>
          <w:rFonts w:ascii="Arial" w:hAnsi="Arial" w:cs="Arial"/>
          <w:sz w:val="20"/>
          <w:szCs w:val="20"/>
        </w:rPr>
        <w:t>The second part of the question required candidates to pro-rate a base costs against the two elements of the proceeds 1) cash consideration and 2) a QCB with a nominal value of £15,000 and a market value of £18,000.</w:t>
      </w:r>
    </w:p>
    <w:p w14:paraId="35032E34" w14:textId="77777777" w:rsidR="00722D56" w:rsidRDefault="00722D56" w:rsidP="00722D56">
      <w:pPr>
        <w:rPr>
          <w:rFonts w:ascii="Arial" w:hAnsi="Arial" w:cs="Arial"/>
          <w:sz w:val="20"/>
          <w:szCs w:val="20"/>
        </w:rPr>
      </w:pPr>
      <w:r>
        <w:rPr>
          <w:rFonts w:ascii="Arial" w:hAnsi="Arial" w:cs="Arial"/>
          <w:sz w:val="20"/>
          <w:szCs w:val="20"/>
        </w:rPr>
        <w:t>A high number of candidates pro-rated the base cost by reference to the nominal value of the QCB’s and lost valuable marks as a result (two marks). Most candidates were able to state that the cash consideration was immediately chargeable to CGT and that the QCB’s were frozen until a later sale. Better candidates were then able to half the frozen gain to arrive at the amount chargeable for the tax year on a sale in September 2024 and state that the proceeds for the sale were themselves exempt. Some candidate tried to set half of the QCB base costs against the proceeds of sale. Yet others stated that the frozen gain once unfrozen was exempt. Yet others calculated two gains one by reference to the original frozen gain and one comparing half of the value of the QCB’s on takeover against the subsequent proceeds.</w:t>
      </w:r>
    </w:p>
    <w:p w14:paraId="56105FAD" w14:textId="77777777" w:rsidR="00722D56" w:rsidRDefault="00722D56" w:rsidP="00722D56">
      <w:pPr>
        <w:rPr>
          <w:rFonts w:ascii="Arial" w:hAnsi="Arial" w:cs="Arial"/>
          <w:sz w:val="20"/>
          <w:szCs w:val="20"/>
        </w:rPr>
      </w:pPr>
      <w:r>
        <w:rPr>
          <w:rFonts w:ascii="Arial" w:hAnsi="Arial" w:cs="Arial"/>
          <w:sz w:val="20"/>
          <w:szCs w:val="20"/>
        </w:rPr>
        <w:t xml:space="preserve">Far too many candidates tried to offset the loss brought forward against the resultant gain in priority to the annual exempt amount losing a half mark accordingly. </w:t>
      </w:r>
    </w:p>
    <w:p w14:paraId="4D334112" w14:textId="77777777" w:rsidR="00722D56" w:rsidRDefault="00722D56" w:rsidP="00722D56">
      <w:pPr>
        <w:rPr>
          <w:rFonts w:ascii="Arial" w:hAnsi="Arial" w:cs="Arial"/>
          <w:sz w:val="20"/>
          <w:szCs w:val="20"/>
        </w:rPr>
      </w:pPr>
      <w:r>
        <w:rPr>
          <w:rFonts w:ascii="Arial" w:hAnsi="Arial" w:cs="Arial"/>
          <w:sz w:val="20"/>
          <w:szCs w:val="20"/>
        </w:rPr>
        <w:t xml:space="preserve">An alarming number of candidates believed that pension income of £45,000 fully extinguished the basic rate band, however those attempting to arrive at the remaining basic rate band generally did well and scored full marks for that element, partly </w:t>
      </w:r>
      <w:proofErr w:type="gramStart"/>
      <w:r>
        <w:rPr>
          <w:rFonts w:ascii="Arial" w:hAnsi="Arial" w:cs="Arial"/>
          <w:sz w:val="20"/>
          <w:szCs w:val="20"/>
        </w:rPr>
        <w:t>for the amount of</w:t>
      </w:r>
      <w:proofErr w:type="gramEnd"/>
      <w:r>
        <w:rPr>
          <w:rFonts w:ascii="Arial" w:hAnsi="Arial" w:cs="Arial"/>
          <w:sz w:val="20"/>
          <w:szCs w:val="20"/>
        </w:rPr>
        <w:t xml:space="preserve"> the basic rate band remaining available and partly in calculating the resultant CGT payable. Otherwise at least two marks were invariably lost.</w:t>
      </w:r>
    </w:p>
    <w:p w14:paraId="4254257B" w14:textId="77777777" w:rsidR="00722D56" w:rsidRDefault="00722D56" w:rsidP="00722D56">
      <w:pPr>
        <w:rPr>
          <w:rFonts w:ascii="Arial" w:hAnsi="Arial" w:cs="Arial"/>
          <w:sz w:val="20"/>
          <w:szCs w:val="20"/>
        </w:rPr>
      </w:pPr>
      <w:r>
        <w:rPr>
          <w:rFonts w:ascii="Arial" w:hAnsi="Arial" w:cs="Arial"/>
          <w:sz w:val="20"/>
          <w:szCs w:val="20"/>
        </w:rPr>
        <w:t xml:space="preserve">Over two thirds of candidates passed this part of the question and as a result the </w:t>
      </w:r>
      <w:proofErr w:type="gramStart"/>
      <w:r>
        <w:rPr>
          <w:rFonts w:ascii="Arial" w:hAnsi="Arial" w:cs="Arial"/>
          <w:sz w:val="20"/>
          <w:szCs w:val="20"/>
        </w:rPr>
        <w:t>question as a whole</w:t>
      </w:r>
      <w:proofErr w:type="gramEnd"/>
      <w:r>
        <w:rPr>
          <w:rFonts w:ascii="Arial" w:hAnsi="Arial" w:cs="Arial"/>
          <w:sz w:val="20"/>
          <w:szCs w:val="20"/>
        </w:rPr>
        <w:t>.</w:t>
      </w:r>
    </w:p>
    <w:p w14:paraId="41E68F2B" w14:textId="2CC58B4E" w:rsidR="00AA2133" w:rsidRPr="00D50303" w:rsidRDefault="00AA2133" w:rsidP="00AA2133">
      <w:pPr>
        <w:rPr>
          <w:rFonts w:ascii="Arial" w:hAnsi="Arial" w:cs="Arial"/>
          <w:b/>
          <w:bCs/>
          <w:sz w:val="20"/>
          <w:szCs w:val="20"/>
          <w:u w:val="single"/>
        </w:rPr>
      </w:pPr>
    </w:p>
    <w:p w14:paraId="74823341" w14:textId="6D37F3D0" w:rsidR="00AA2133" w:rsidRPr="00D50303" w:rsidRDefault="00AA2133" w:rsidP="00AA2133">
      <w:pPr>
        <w:rPr>
          <w:rFonts w:ascii="Arial" w:hAnsi="Arial" w:cs="Arial"/>
          <w:b/>
          <w:bCs/>
          <w:color w:val="0070C0"/>
          <w:sz w:val="20"/>
          <w:szCs w:val="20"/>
        </w:rPr>
      </w:pPr>
      <w:r w:rsidRPr="00D50303">
        <w:rPr>
          <w:rFonts w:ascii="Arial" w:hAnsi="Arial" w:cs="Arial"/>
          <w:b/>
          <w:bCs/>
          <w:sz w:val="20"/>
          <w:szCs w:val="20"/>
        </w:rPr>
        <w:t xml:space="preserve">Question </w:t>
      </w:r>
      <w:r w:rsidR="00D44A5A">
        <w:rPr>
          <w:rFonts w:ascii="Arial" w:hAnsi="Arial" w:cs="Arial"/>
          <w:b/>
          <w:bCs/>
          <w:sz w:val="20"/>
          <w:szCs w:val="20"/>
        </w:rPr>
        <w:t>3</w:t>
      </w:r>
    </w:p>
    <w:p w14:paraId="1702963E" w14:textId="16500C75" w:rsidR="00AA2133" w:rsidRDefault="00AA2133" w:rsidP="00AA2133">
      <w:pPr>
        <w:rPr>
          <w:rFonts w:ascii="Arial" w:hAnsi="Arial" w:cs="Arial"/>
          <w:sz w:val="20"/>
          <w:szCs w:val="20"/>
          <w:u w:val="single"/>
        </w:rPr>
      </w:pPr>
      <w:r w:rsidRPr="00D50303">
        <w:rPr>
          <w:rFonts w:ascii="Arial" w:hAnsi="Arial" w:cs="Arial"/>
          <w:sz w:val="20"/>
          <w:szCs w:val="20"/>
          <w:u w:val="single"/>
        </w:rPr>
        <w:t xml:space="preserve">Part </w:t>
      </w:r>
      <w:r w:rsidR="00725C66" w:rsidRPr="00D50303">
        <w:rPr>
          <w:rFonts w:ascii="Arial" w:hAnsi="Arial" w:cs="Arial"/>
          <w:sz w:val="20"/>
          <w:szCs w:val="20"/>
          <w:u w:val="single"/>
        </w:rPr>
        <w:t>1</w:t>
      </w:r>
    </w:p>
    <w:p w14:paraId="5BBAF541" w14:textId="10EC2430" w:rsidR="00D44A5A" w:rsidRPr="00D44A5A" w:rsidRDefault="00304897" w:rsidP="00AA2133">
      <w:pPr>
        <w:rPr>
          <w:rFonts w:ascii="Arial" w:hAnsi="Arial" w:cs="Arial"/>
          <w:sz w:val="20"/>
          <w:szCs w:val="20"/>
        </w:rPr>
      </w:pPr>
      <w:r>
        <w:rPr>
          <w:rFonts w:ascii="Arial" w:hAnsi="Arial" w:cs="Arial"/>
          <w:sz w:val="20"/>
          <w:szCs w:val="20"/>
        </w:rPr>
        <w:t>Generally,</w:t>
      </w:r>
      <w:r w:rsidR="00641034">
        <w:rPr>
          <w:rFonts w:ascii="Arial" w:hAnsi="Arial" w:cs="Arial"/>
          <w:sz w:val="20"/>
          <w:szCs w:val="20"/>
        </w:rPr>
        <w:t xml:space="preserve"> reasonably well </w:t>
      </w:r>
      <w:r w:rsidR="0037706D">
        <w:rPr>
          <w:rFonts w:ascii="Arial" w:hAnsi="Arial" w:cs="Arial"/>
          <w:sz w:val="20"/>
          <w:szCs w:val="20"/>
        </w:rPr>
        <w:t>answered</w:t>
      </w:r>
      <w:r w:rsidR="00571992">
        <w:rPr>
          <w:rFonts w:ascii="Arial" w:hAnsi="Arial" w:cs="Arial"/>
          <w:sz w:val="20"/>
          <w:szCs w:val="20"/>
        </w:rPr>
        <w:t>.</w:t>
      </w:r>
      <w:r w:rsidR="00641034">
        <w:rPr>
          <w:rFonts w:ascii="Arial" w:hAnsi="Arial" w:cs="Arial"/>
          <w:sz w:val="20"/>
          <w:szCs w:val="20"/>
        </w:rPr>
        <w:t xml:space="preserve"> Where marks were most frequently lost was in not digging deeply enough into the family tie and dealing with the complication thrown up by Louisa’s status as a student. </w:t>
      </w:r>
      <w:r w:rsidR="009346F1">
        <w:rPr>
          <w:rFonts w:ascii="Arial" w:hAnsi="Arial" w:cs="Arial"/>
          <w:sz w:val="20"/>
          <w:szCs w:val="20"/>
        </w:rPr>
        <w:t>Many candidates</w:t>
      </w:r>
      <w:r w:rsidR="00641034">
        <w:rPr>
          <w:rFonts w:ascii="Arial" w:hAnsi="Arial" w:cs="Arial"/>
          <w:sz w:val="20"/>
          <w:szCs w:val="20"/>
        </w:rPr>
        <w:t xml:space="preserve"> just saw a UK resident minor and concluded she was a tie</w:t>
      </w:r>
      <w:r>
        <w:rPr>
          <w:rFonts w:ascii="Arial" w:hAnsi="Arial" w:cs="Arial"/>
          <w:sz w:val="20"/>
          <w:szCs w:val="20"/>
        </w:rPr>
        <w:t>.</w:t>
      </w:r>
      <w:r w:rsidR="00641034">
        <w:rPr>
          <w:rFonts w:ascii="Arial" w:hAnsi="Arial" w:cs="Arial"/>
          <w:sz w:val="20"/>
          <w:szCs w:val="20"/>
        </w:rPr>
        <w:t xml:space="preserve"> Important also to bear in mind that the question wanted candidates to </w:t>
      </w:r>
      <w:r w:rsidR="00641034" w:rsidRPr="00641034">
        <w:rPr>
          <w:rFonts w:ascii="Arial" w:hAnsi="Arial" w:cs="Arial"/>
          <w:sz w:val="20"/>
          <w:szCs w:val="20"/>
          <w:u w:val="single"/>
        </w:rPr>
        <w:t>conclude</w:t>
      </w:r>
      <w:r w:rsidR="00641034">
        <w:rPr>
          <w:rFonts w:ascii="Arial" w:hAnsi="Arial" w:cs="Arial"/>
          <w:sz w:val="20"/>
          <w:szCs w:val="20"/>
        </w:rPr>
        <w:t xml:space="preserve"> as to which ties Marta had</w:t>
      </w:r>
      <w:r w:rsidR="00043B7A">
        <w:rPr>
          <w:rFonts w:ascii="Arial" w:hAnsi="Arial" w:cs="Arial"/>
          <w:sz w:val="20"/>
          <w:szCs w:val="20"/>
        </w:rPr>
        <w:t>, not just write everything they knew about the ties.</w:t>
      </w:r>
    </w:p>
    <w:p w14:paraId="09D1D603" w14:textId="277600F6" w:rsidR="00725C66" w:rsidRPr="00D50303" w:rsidRDefault="00725C66" w:rsidP="00AA2133">
      <w:pPr>
        <w:rPr>
          <w:rFonts w:ascii="Arial" w:hAnsi="Arial" w:cs="Arial"/>
          <w:sz w:val="20"/>
          <w:szCs w:val="20"/>
          <w:u w:val="single"/>
        </w:rPr>
      </w:pPr>
      <w:r w:rsidRPr="00D50303">
        <w:rPr>
          <w:rFonts w:ascii="Arial" w:hAnsi="Arial" w:cs="Arial"/>
          <w:sz w:val="20"/>
          <w:szCs w:val="20"/>
          <w:u w:val="single"/>
        </w:rPr>
        <w:t>Part 2</w:t>
      </w:r>
    </w:p>
    <w:p w14:paraId="750FB482" w14:textId="06863EBB" w:rsidR="00725C66" w:rsidRDefault="00AB48E4" w:rsidP="00AA2133">
      <w:pPr>
        <w:rPr>
          <w:rFonts w:ascii="Arial" w:hAnsi="Arial" w:cs="Arial"/>
          <w:sz w:val="20"/>
          <w:szCs w:val="20"/>
        </w:rPr>
      </w:pPr>
      <w:r>
        <w:rPr>
          <w:rFonts w:ascii="Arial" w:hAnsi="Arial" w:cs="Arial"/>
          <w:sz w:val="20"/>
          <w:szCs w:val="20"/>
        </w:rPr>
        <w:t xml:space="preserve">Reasonably well </w:t>
      </w:r>
      <w:r w:rsidR="002837C9">
        <w:rPr>
          <w:rFonts w:ascii="Arial" w:hAnsi="Arial" w:cs="Arial"/>
          <w:sz w:val="20"/>
          <w:szCs w:val="20"/>
        </w:rPr>
        <w:t>answere</w:t>
      </w:r>
      <w:r w:rsidR="00043B7A">
        <w:rPr>
          <w:rFonts w:ascii="Arial" w:hAnsi="Arial" w:cs="Arial"/>
          <w:sz w:val="20"/>
          <w:szCs w:val="20"/>
        </w:rPr>
        <w:t xml:space="preserve">d, although a small minority wasted time writing about the remittance basis when that was specifically excluded by the question. More marks were gained by those who dealt with each income source/gain separately rather than making overarching comments about residents’ and non-residents’ tax exposures. </w:t>
      </w:r>
    </w:p>
    <w:p w14:paraId="221178C0" w14:textId="77777777" w:rsidR="005F7C04" w:rsidRDefault="005F7C04">
      <w:pPr>
        <w:rPr>
          <w:rFonts w:ascii="Arial" w:hAnsi="Arial" w:cs="Arial"/>
          <w:b/>
          <w:bCs/>
          <w:sz w:val="20"/>
          <w:szCs w:val="20"/>
        </w:rPr>
      </w:pPr>
      <w:r>
        <w:rPr>
          <w:rFonts w:ascii="Arial" w:hAnsi="Arial" w:cs="Arial"/>
          <w:b/>
          <w:bCs/>
          <w:sz w:val="20"/>
          <w:szCs w:val="20"/>
        </w:rPr>
        <w:br w:type="page"/>
      </w:r>
    </w:p>
    <w:p w14:paraId="40502ECC" w14:textId="2171B3F5" w:rsidR="00722D56" w:rsidRPr="000403D5" w:rsidRDefault="00722D56" w:rsidP="00722D56">
      <w:pPr>
        <w:rPr>
          <w:rFonts w:ascii="Arial" w:hAnsi="Arial" w:cs="Arial"/>
          <w:b/>
          <w:bCs/>
          <w:sz w:val="20"/>
          <w:szCs w:val="20"/>
        </w:rPr>
      </w:pPr>
      <w:r w:rsidRPr="000403D5">
        <w:rPr>
          <w:rFonts w:ascii="Arial" w:hAnsi="Arial" w:cs="Arial"/>
          <w:b/>
          <w:bCs/>
          <w:sz w:val="20"/>
          <w:szCs w:val="20"/>
        </w:rPr>
        <w:lastRenderedPageBreak/>
        <w:t>Question 4</w:t>
      </w:r>
    </w:p>
    <w:p w14:paraId="5F201775" w14:textId="77777777" w:rsidR="00722D56" w:rsidRDefault="00722D56" w:rsidP="00722D56">
      <w:pPr>
        <w:rPr>
          <w:rFonts w:ascii="Arial" w:hAnsi="Arial" w:cs="Arial"/>
          <w:sz w:val="20"/>
          <w:szCs w:val="20"/>
        </w:rPr>
      </w:pPr>
      <w:r>
        <w:rPr>
          <w:rFonts w:ascii="Arial" w:hAnsi="Arial" w:cs="Arial"/>
          <w:sz w:val="20"/>
          <w:szCs w:val="20"/>
        </w:rPr>
        <w:t>This question tested candidates’ knowledge of rental income focusing on lease premiums and capital versus revenue and wholly and exclusivity in arriving at deductible expenses (4.1) and posed a small ethics question around giving advice over the telephone (4.2).</w:t>
      </w:r>
    </w:p>
    <w:p w14:paraId="6D30CB0D" w14:textId="77777777" w:rsidR="00722D56" w:rsidRDefault="00722D56" w:rsidP="00722D56">
      <w:pPr>
        <w:rPr>
          <w:rFonts w:ascii="Arial" w:hAnsi="Arial" w:cs="Arial"/>
          <w:sz w:val="20"/>
          <w:szCs w:val="20"/>
        </w:rPr>
      </w:pPr>
      <w:r>
        <w:rPr>
          <w:rFonts w:ascii="Arial" w:hAnsi="Arial" w:cs="Arial"/>
          <w:sz w:val="20"/>
          <w:szCs w:val="20"/>
        </w:rPr>
        <w:t xml:space="preserve">The first part of question 4.1 concentrated on lease premiums with the scenario featuring both a head lease and a sublease. At seven marks this was a meaty part of the overall section which was worth thirteen marks overall. Candidates either did very well or poorly which clearly demarked those candidates who had studied this less commonly tested area. Candidates approaching the income tax on the sub lease and then applying the relief for the income tax suffered on the headlease in a methodical manner fared best. Those taking care to get the number of years in the formula right found the answer easily. </w:t>
      </w:r>
    </w:p>
    <w:p w14:paraId="03EAB2FA" w14:textId="77777777" w:rsidR="00722D56" w:rsidRDefault="00722D56" w:rsidP="00722D56">
      <w:pPr>
        <w:rPr>
          <w:rFonts w:ascii="Arial" w:hAnsi="Arial" w:cs="Arial"/>
          <w:sz w:val="20"/>
          <w:szCs w:val="20"/>
        </w:rPr>
      </w:pPr>
      <w:r>
        <w:rPr>
          <w:rFonts w:ascii="Arial" w:hAnsi="Arial" w:cs="Arial"/>
          <w:sz w:val="20"/>
          <w:szCs w:val="20"/>
        </w:rPr>
        <w:t>Some candidates got siloed in CGT calculations which were not relevant to the question requirement and lost valuable time and marks accordingly.</w:t>
      </w:r>
    </w:p>
    <w:p w14:paraId="5DE0E108" w14:textId="77777777" w:rsidR="00722D56" w:rsidRDefault="00722D56" w:rsidP="00722D56">
      <w:pPr>
        <w:rPr>
          <w:rFonts w:ascii="Arial" w:hAnsi="Arial" w:cs="Arial"/>
          <w:sz w:val="20"/>
          <w:szCs w:val="20"/>
        </w:rPr>
      </w:pPr>
      <w:r>
        <w:rPr>
          <w:rFonts w:ascii="Arial" w:hAnsi="Arial" w:cs="Arial"/>
          <w:sz w:val="20"/>
          <w:szCs w:val="20"/>
        </w:rPr>
        <w:t xml:space="preserve">Candidates fared better on the second part of question 4.1. A majority were able to identify that the new garage was capital and therefore disallowable as a deduction from the rent. </w:t>
      </w:r>
      <w:proofErr w:type="gramStart"/>
      <w:r>
        <w:rPr>
          <w:rFonts w:ascii="Arial" w:hAnsi="Arial" w:cs="Arial"/>
          <w:sz w:val="20"/>
          <w:szCs w:val="20"/>
        </w:rPr>
        <w:t>A majority of</w:t>
      </w:r>
      <w:proofErr w:type="gramEnd"/>
      <w:r>
        <w:rPr>
          <w:rFonts w:ascii="Arial" w:hAnsi="Arial" w:cs="Arial"/>
          <w:sz w:val="20"/>
          <w:szCs w:val="20"/>
        </w:rPr>
        <w:t xml:space="preserve"> candidates identified that the cash basis was the default in calculating the rent on the residential let although a few insisted on using the accruals basis despite this for which they obtained follow through marks. </w:t>
      </w:r>
    </w:p>
    <w:p w14:paraId="1725E34C" w14:textId="77777777" w:rsidR="00722D56" w:rsidRDefault="00722D56" w:rsidP="00722D56">
      <w:pPr>
        <w:rPr>
          <w:rFonts w:ascii="Arial" w:hAnsi="Arial" w:cs="Arial"/>
          <w:sz w:val="20"/>
          <w:szCs w:val="20"/>
        </w:rPr>
      </w:pPr>
      <w:proofErr w:type="gramStart"/>
      <w:r>
        <w:rPr>
          <w:rFonts w:ascii="Arial" w:hAnsi="Arial" w:cs="Arial"/>
          <w:sz w:val="20"/>
          <w:szCs w:val="20"/>
        </w:rPr>
        <w:t>A number of</w:t>
      </w:r>
      <w:proofErr w:type="gramEnd"/>
      <w:r>
        <w:rPr>
          <w:rFonts w:ascii="Arial" w:hAnsi="Arial" w:cs="Arial"/>
          <w:sz w:val="20"/>
          <w:szCs w:val="20"/>
        </w:rPr>
        <w:t xml:space="preserve"> candidates succumbed to time pressure and their mental arithmetic suffered with some silly adding errors creeping in both in calculating the rent on the commercial sub lease and the rent on the residential property under the cash basis.</w:t>
      </w:r>
    </w:p>
    <w:p w14:paraId="238DA9F6" w14:textId="77777777" w:rsidR="00722D56" w:rsidRDefault="00722D56" w:rsidP="00722D56">
      <w:pPr>
        <w:rPr>
          <w:rFonts w:ascii="Arial" w:hAnsi="Arial" w:cs="Arial"/>
          <w:sz w:val="20"/>
          <w:szCs w:val="20"/>
        </w:rPr>
      </w:pPr>
      <w:proofErr w:type="gramStart"/>
      <w:r>
        <w:rPr>
          <w:rFonts w:ascii="Arial" w:hAnsi="Arial" w:cs="Arial"/>
          <w:sz w:val="20"/>
          <w:szCs w:val="20"/>
        </w:rPr>
        <w:t>A large number of</w:t>
      </w:r>
      <w:proofErr w:type="gramEnd"/>
      <w:r>
        <w:rPr>
          <w:rFonts w:ascii="Arial" w:hAnsi="Arial" w:cs="Arial"/>
          <w:sz w:val="20"/>
          <w:szCs w:val="20"/>
        </w:rPr>
        <w:t xml:space="preserve"> candidates lost marks for not stating that the new bath was a repair of a fixture instead claiming that this was the replacement of a domestic item.</w:t>
      </w:r>
    </w:p>
    <w:p w14:paraId="0CBE038F" w14:textId="77777777" w:rsidR="00722D56" w:rsidRDefault="00722D56" w:rsidP="00722D56">
      <w:pPr>
        <w:rPr>
          <w:rFonts w:ascii="Arial" w:hAnsi="Arial" w:cs="Arial"/>
          <w:sz w:val="20"/>
          <w:szCs w:val="20"/>
        </w:rPr>
      </w:pPr>
      <w:r>
        <w:rPr>
          <w:rFonts w:ascii="Arial" w:hAnsi="Arial" w:cs="Arial"/>
          <w:sz w:val="20"/>
          <w:szCs w:val="20"/>
        </w:rPr>
        <w:t>Yet others got hooked on the fact that the council tax was allowed under the cash basis instead of the fact that it was allowed as being wholly and exclusively for the purposes of the residential letting business.</w:t>
      </w:r>
    </w:p>
    <w:p w14:paraId="709B3979" w14:textId="77777777" w:rsidR="00722D56" w:rsidRDefault="00722D56" w:rsidP="00722D56">
      <w:pPr>
        <w:rPr>
          <w:rFonts w:ascii="Arial" w:hAnsi="Arial" w:cs="Arial"/>
          <w:sz w:val="20"/>
          <w:szCs w:val="20"/>
        </w:rPr>
      </w:pPr>
      <w:r>
        <w:rPr>
          <w:rFonts w:ascii="Arial" w:hAnsi="Arial" w:cs="Arial"/>
          <w:sz w:val="20"/>
          <w:szCs w:val="20"/>
        </w:rPr>
        <w:t>That said over two thirds of candidates were able to pass this part of the question, even those who scored poorly on the lease premium element were able to score well on the second part and so get over the line.</w:t>
      </w:r>
    </w:p>
    <w:p w14:paraId="0DF8BD76" w14:textId="77777777" w:rsidR="00722D56" w:rsidRDefault="00722D56" w:rsidP="00722D56">
      <w:pPr>
        <w:rPr>
          <w:rFonts w:ascii="Arial" w:hAnsi="Arial" w:cs="Arial"/>
          <w:sz w:val="20"/>
          <w:szCs w:val="20"/>
        </w:rPr>
      </w:pPr>
      <w:r>
        <w:rPr>
          <w:rFonts w:ascii="Arial" w:hAnsi="Arial" w:cs="Arial"/>
          <w:sz w:val="20"/>
          <w:szCs w:val="20"/>
        </w:rPr>
        <w:t xml:space="preserve">Question 2.2 simply required candidates to identify that the telephone conversation with Amal should be followed up with a written response so that Amal had the opportunity to correct any mistaken assumptions made and so that Amal had a written record. Too many candidates got side-tracked into complaints and being sued for negligence </w:t>
      </w:r>
      <w:proofErr w:type="spellStart"/>
      <w:proofErr w:type="gramStart"/>
      <w:r>
        <w:rPr>
          <w:rFonts w:ascii="Arial" w:hAnsi="Arial" w:cs="Arial"/>
          <w:sz w:val="20"/>
          <w:szCs w:val="20"/>
        </w:rPr>
        <w:t>an</w:t>
      </w:r>
      <w:proofErr w:type="spellEnd"/>
      <w:proofErr w:type="gramEnd"/>
      <w:r>
        <w:rPr>
          <w:rFonts w:ascii="Arial" w:hAnsi="Arial" w:cs="Arial"/>
          <w:sz w:val="20"/>
          <w:szCs w:val="20"/>
        </w:rPr>
        <w:t xml:space="preserve"> the like or randomly into take on procedures which I can only assume was the first think that sprung to mind.</w:t>
      </w:r>
    </w:p>
    <w:p w14:paraId="1A891DEE" w14:textId="77777777" w:rsidR="00722D56" w:rsidRDefault="00722D56" w:rsidP="00722D56">
      <w:pPr>
        <w:rPr>
          <w:rFonts w:ascii="Arial" w:hAnsi="Arial" w:cs="Arial"/>
          <w:sz w:val="20"/>
          <w:szCs w:val="20"/>
        </w:rPr>
      </w:pPr>
      <w:r>
        <w:rPr>
          <w:rFonts w:ascii="Arial" w:hAnsi="Arial" w:cs="Arial"/>
          <w:sz w:val="20"/>
          <w:szCs w:val="20"/>
        </w:rPr>
        <w:t>Less than half of candidates passed this part of the question.</w:t>
      </w:r>
    </w:p>
    <w:p w14:paraId="194DE092" w14:textId="77777777" w:rsidR="00722D56" w:rsidRDefault="00722D56" w:rsidP="00722D56">
      <w:pPr>
        <w:rPr>
          <w:rFonts w:ascii="Arial" w:hAnsi="Arial" w:cs="Arial"/>
          <w:sz w:val="20"/>
          <w:szCs w:val="20"/>
        </w:rPr>
      </w:pPr>
      <w:r>
        <w:rPr>
          <w:rFonts w:ascii="Arial" w:hAnsi="Arial" w:cs="Arial"/>
          <w:sz w:val="20"/>
          <w:szCs w:val="20"/>
        </w:rPr>
        <w:t>Overall, over two thirds of candidates passed this question.</w:t>
      </w:r>
    </w:p>
    <w:p w14:paraId="7EDEB199" w14:textId="77777777" w:rsidR="00722D56" w:rsidRPr="00D50303" w:rsidRDefault="00722D56" w:rsidP="00AA2133">
      <w:pPr>
        <w:rPr>
          <w:rFonts w:ascii="Arial" w:hAnsi="Arial" w:cs="Arial"/>
          <w:sz w:val="20"/>
          <w:szCs w:val="20"/>
        </w:rPr>
      </w:pPr>
    </w:p>
    <w:p w14:paraId="4DCB0F1C" w14:textId="08115C2B" w:rsidR="00725C66" w:rsidRPr="00D50303" w:rsidRDefault="00725C66" w:rsidP="00725C66">
      <w:pPr>
        <w:rPr>
          <w:rFonts w:ascii="Arial" w:hAnsi="Arial" w:cs="Arial"/>
          <w:b/>
          <w:bCs/>
          <w:color w:val="0070C0"/>
          <w:sz w:val="20"/>
          <w:szCs w:val="20"/>
        </w:rPr>
      </w:pPr>
      <w:r w:rsidRPr="00D50303">
        <w:rPr>
          <w:rFonts w:ascii="Arial" w:hAnsi="Arial" w:cs="Arial"/>
          <w:b/>
          <w:bCs/>
          <w:sz w:val="20"/>
          <w:szCs w:val="20"/>
        </w:rPr>
        <w:t xml:space="preserve">Question </w:t>
      </w:r>
      <w:r w:rsidR="00641034">
        <w:rPr>
          <w:rFonts w:ascii="Arial" w:hAnsi="Arial" w:cs="Arial"/>
          <w:b/>
          <w:bCs/>
          <w:sz w:val="20"/>
          <w:szCs w:val="20"/>
        </w:rPr>
        <w:t>5</w:t>
      </w:r>
    </w:p>
    <w:p w14:paraId="79890D39" w14:textId="29FA4EE5" w:rsidR="00725C66" w:rsidRDefault="00043B7A" w:rsidP="00725C66">
      <w:pPr>
        <w:rPr>
          <w:rFonts w:ascii="Arial" w:hAnsi="Arial" w:cs="Arial"/>
          <w:sz w:val="20"/>
          <w:szCs w:val="20"/>
        </w:rPr>
      </w:pPr>
      <w:r>
        <w:rPr>
          <w:rFonts w:ascii="Arial" w:hAnsi="Arial" w:cs="Arial"/>
          <w:sz w:val="20"/>
          <w:szCs w:val="20"/>
        </w:rPr>
        <w:t>Most candidates performed better than expected</w:t>
      </w:r>
      <w:r w:rsidR="00DD2A69">
        <w:rPr>
          <w:rFonts w:ascii="Arial" w:hAnsi="Arial" w:cs="Arial"/>
          <w:sz w:val="20"/>
          <w:szCs w:val="20"/>
        </w:rPr>
        <w:t xml:space="preserve"> and reasonable marks could be scored even if the central issue of Thomas’s election for a deemed disposal and reacquisition was overlooked. Quite a few candidates demonstrated good exam technique in that, even where they were clearly struggling with the question, they compiled proforma CGT comps and picked up marks for AE deductions and tax rates. </w:t>
      </w:r>
    </w:p>
    <w:p w14:paraId="4E6F1EFC" w14:textId="77777777" w:rsidR="00C71404" w:rsidRDefault="00C71404" w:rsidP="00725C66">
      <w:pPr>
        <w:rPr>
          <w:rFonts w:ascii="Arial" w:hAnsi="Arial" w:cs="Arial"/>
          <w:sz w:val="20"/>
          <w:szCs w:val="20"/>
        </w:rPr>
      </w:pPr>
    </w:p>
    <w:p w14:paraId="1807BF4E" w14:textId="2D1BF9D5" w:rsidR="00C71404" w:rsidRDefault="00C71404" w:rsidP="00C71404">
      <w:pPr>
        <w:rPr>
          <w:rFonts w:ascii="Arial" w:hAnsi="Arial" w:cs="Arial"/>
          <w:b/>
          <w:bCs/>
          <w:sz w:val="20"/>
          <w:szCs w:val="20"/>
        </w:rPr>
      </w:pPr>
      <w:r w:rsidRPr="00D50303">
        <w:rPr>
          <w:rFonts w:ascii="Arial" w:hAnsi="Arial" w:cs="Arial"/>
          <w:b/>
          <w:bCs/>
          <w:sz w:val="20"/>
          <w:szCs w:val="20"/>
        </w:rPr>
        <w:lastRenderedPageBreak/>
        <w:t xml:space="preserve">Question </w:t>
      </w:r>
      <w:r>
        <w:rPr>
          <w:rFonts w:ascii="Arial" w:hAnsi="Arial" w:cs="Arial"/>
          <w:b/>
          <w:bCs/>
          <w:sz w:val="20"/>
          <w:szCs w:val="20"/>
        </w:rPr>
        <w:t>6</w:t>
      </w:r>
    </w:p>
    <w:p w14:paraId="6583EAFD" w14:textId="77777777" w:rsidR="00766DB6" w:rsidRPr="00133E59" w:rsidRDefault="00766DB6" w:rsidP="00766DB6">
      <w:pPr>
        <w:spacing w:before="60" w:after="60" w:line="240" w:lineRule="auto"/>
        <w:jc w:val="both"/>
        <w:rPr>
          <w:rFonts w:ascii="Arial" w:hAnsi="Arial" w:cs="Arial"/>
          <w:sz w:val="20"/>
          <w:szCs w:val="20"/>
        </w:rPr>
      </w:pPr>
      <w:proofErr w:type="gramStart"/>
      <w:r>
        <w:rPr>
          <w:rFonts w:ascii="Arial" w:hAnsi="Arial" w:cs="Arial"/>
          <w:sz w:val="20"/>
          <w:szCs w:val="20"/>
        </w:rPr>
        <w:t>The vast majority of</w:t>
      </w:r>
      <w:proofErr w:type="gramEnd"/>
      <w:r>
        <w:rPr>
          <w:rFonts w:ascii="Arial" w:hAnsi="Arial" w:cs="Arial"/>
          <w:sz w:val="20"/>
          <w:szCs w:val="20"/>
        </w:rPr>
        <w:t xml:space="preserve"> candidates did attempt this question, but the a</w:t>
      </w:r>
      <w:r w:rsidRPr="00133E59">
        <w:rPr>
          <w:rFonts w:ascii="Arial" w:hAnsi="Arial" w:cs="Arial"/>
          <w:sz w:val="20"/>
          <w:szCs w:val="20"/>
        </w:rPr>
        <w:t>nswers were disappointing</w:t>
      </w:r>
      <w:r>
        <w:rPr>
          <w:rFonts w:ascii="Arial" w:hAnsi="Arial" w:cs="Arial"/>
          <w:sz w:val="20"/>
          <w:szCs w:val="20"/>
        </w:rPr>
        <w:t>ly poor.</w:t>
      </w:r>
    </w:p>
    <w:p w14:paraId="10DAE00D" w14:textId="77777777" w:rsidR="00766DB6" w:rsidRDefault="00766DB6" w:rsidP="00766DB6">
      <w:pPr>
        <w:spacing w:before="60" w:after="60" w:line="240" w:lineRule="auto"/>
        <w:jc w:val="both"/>
        <w:rPr>
          <w:rFonts w:ascii="Arial" w:hAnsi="Arial" w:cs="Arial"/>
          <w:sz w:val="20"/>
          <w:szCs w:val="20"/>
        </w:rPr>
      </w:pPr>
      <w:r>
        <w:rPr>
          <w:rFonts w:ascii="Arial" w:hAnsi="Arial" w:cs="Arial"/>
          <w:sz w:val="20"/>
          <w:szCs w:val="20"/>
        </w:rPr>
        <w:t>There was evidence that little thought was put into:</w:t>
      </w:r>
    </w:p>
    <w:p w14:paraId="37D21B07" w14:textId="77777777" w:rsidR="00766DB6" w:rsidRDefault="00766DB6" w:rsidP="00766DB6">
      <w:pPr>
        <w:pStyle w:val="ListParagraph"/>
        <w:numPr>
          <w:ilvl w:val="0"/>
          <w:numId w:val="1"/>
        </w:numPr>
        <w:spacing w:before="60" w:after="60" w:line="240" w:lineRule="auto"/>
        <w:ind w:left="567" w:hanging="567"/>
        <w:contextualSpacing w:val="0"/>
        <w:jc w:val="both"/>
        <w:rPr>
          <w:rFonts w:ascii="Arial" w:hAnsi="Arial" w:cs="Arial"/>
          <w:sz w:val="20"/>
          <w:szCs w:val="20"/>
        </w:rPr>
      </w:pPr>
      <w:r>
        <w:rPr>
          <w:rFonts w:ascii="Arial" w:hAnsi="Arial" w:cs="Arial"/>
          <w:sz w:val="20"/>
          <w:szCs w:val="20"/>
        </w:rPr>
        <w:t xml:space="preserve">Presenting the answer in the format asked for (Notes for a presentation to audit colleagues) </w:t>
      </w:r>
    </w:p>
    <w:p w14:paraId="1263C040" w14:textId="77777777" w:rsidR="00766DB6" w:rsidRPr="00BB7ADF" w:rsidRDefault="00766DB6" w:rsidP="00766DB6">
      <w:pPr>
        <w:pStyle w:val="ListParagraph"/>
        <w:numPr>
          <w:ilvl w:val="0"/>
          <w:numId w:val="1"/>
        </w:numPr>
        <w:spacing w:before="60" w:after="60" w:line="240" w:lineRule="auto"/>
        <w:ind w:left="567" w:hanging="567"/>
        <w:contextualSpacing w:val="0"/>
        <w:jc w:val="both"/>
        <w:rPr>
          <w:rFonts w:ascii="Arial" w:hAnsi="Arial" w:cs="Arial"/>
          <w:sz w:val="20"/>
          <w:szCs w:val="20"/>
        </w:rPr>
      </w:pPr>
      <w:r>
        <w:rPr>
          <w:rFonts w:ascii="Arial" w:hAnsi="Arial" w:cs="Arial"/>
          <w:sz w:val="20"/>
          <w:szCs w:val="20"/>
        </w:rPr>
        <w:t>Addressing the two separate parts of the notes (many answers were just one answer jumping back and forth without direction between Part (1) to Part (2)).</w:t>
      </w:r>
    </w:p>
    <w:p w14:paraId="17D30F86" w14:textId="77777777" w:rsidR="00766DB6" w:rsidRDefault="00766DB6" w:rsidP="00766DB6">
      <w:pPr>
        <w:pStyle w:val="ListParagraph"/>
        <w:numPr>
          <w:ilvl w:val="0"/>
          <w:numId w:val="1"/>
        </w:numPr>
        <w:spacing w:before="60" w:after="60" w:line="240" w:lineRule="auto"/>
        <w:ind w:left="567" w:hanging="567"/>
        <w:contextualSpacing w:val="0"/>
        <w:jc w:val="both"/>
        <w:rPr>
          <w:rFonts w:ascii="Arial" w:hAnsi="Arial" w:cs="Arial"/>
          <w:sz w:val="20"/>
          <w:szCs w:val="20"/>
        </w:rPr>
      </w:pPr>
      <w:bookmarkStart w:id="5" w:name="_Hlk215832753"/>
      <w:r>
        <w:rPr>
          <w:rFonts w:ascii="Arial" w:hAnsi="Arial" w:cs="Arial"/>
          <w:sz w:val="20"/>
          <w:szCs w:val="20"/>
        </w:rPr>
        <w:t xml:space="preserve">Adequately explaining the </w:t>
      </w:r>
      <w:bookmarkEnd w:id="5"/>
      <w:r>
        <w:rPr>
          <w:rFonts w:ascii="Arial" w:hAnsi="Arial" w:cs="Arial"/>
          <w:sz w:val="20"/>
          <w:szCs w:val="20"/>
        </w:rPr>
        <w:t>step-by-step approach/thought process required to calculate the annual allowance and presenting it in a sensible order.</w:t>
      </w:r>
    </w:p>
    <w:p w14:paraId="17074AF8" w14:textId="77777777" w:rsidR="00766DB6" w:rsidRDefault="00766DB6" w:rsidP="00766DB6">
      <w:pPr>
        <w:pStyle w:val="ListParagraph"/>
        <w:numPr>
          <w:ilvl w:val="0"/>
          <w:numId w:val="1"/>
        </w:numPr>
        <w:spacing w:before="60" w:after="60" w:line="240" w:lineRule="auto"/>
        <w:ind w:left="567" w:hanging="567"/>
        <w:contextualSpacing w:val="0"/>
        <w:jc w:val="both"/>
        <w:rPr>
          <w:rFonts w:ascii="Arial" w:hAnsi="Arial" w:cs="Arial"/>
          <w:sz w:val="20"/>
          <w:szCs w:val="20"/>
        </w:rPr>
      </w:pPr>
      <w:r>
        <w:rPr>
          <w:rFonts w:ascii="Arial" w:hAnsi="Arial" w:cs="Arial"/>
          <w:sz w:val="20"/>
          <w:szCs w:val="20"/>
        </w:rPr>
        <w:t>Adequately explaining the approach/thought process required to calculate an income tax liability computation</w:t>
      </w:r>
      <w:r w:rsidRPr="00BB7ADF">
        <w:rPr>
          <w:rFonts w:ascii="Arial" w:hAnsi="Arial" w:cs="Arial"/>
          <w:sz w:val="20"/>
          <w:szCs w:val="20"/>
        </w:rPr>
        <w:t xml:space="preserve"> </w:t>
      </w:r>
      <w:r>
        <w:rPr>
          <w:rFonts w:ascii="Arial" w:hAnsi="Arial" w:cs="Arial"/>
          <w:sz w:val="20"/>
          <w:szCs w:val="20"/>
        </w:rPr>
        <w:t>and presenting it in a sensible order</w:t>
      </w:r>
      <w:r w:rsidRPr="00133E59">
        <w:rPr>
          <w:rFonts w:ascii="Arial" w:hAnsi="Arial" w:cs="Arial"/>
          <w:sz w:val="20"/>
          <w:szCs w:val="20"/>
        </w:rPr>
        <w:t xml:space="preserve">. </w:t>
      </w:r>
    </w:p>
    <w:p w14:paraId="0DD3C3EB" w14:textId="77777777" w:rsidR="00766DB6" w:rsidRPr="00C42DD7" w:rsidRDefault="00766DB6" w:rsidP="00766DB6">
      <w:pPr>
        <w:pStyle w:val="ListParagraph"/>
        <w:numPr>
          <w:ilvl w:val="0"/>
          <w:numId w:val="1"/>
        </w:numPr>
        <w:spacing w:before="60" w:after="60" w:line="240" w:lineRule="auto"/>
        <w:ind w:left="567" w:hanging="567"/>
        <w:contextualSpacing w:val="0"/>
        <w:jc w:val="both"/>
        <w:rPr>
          <w:rFonts w:ascii="Arial" w:hAnsi="Arial" w:cs="Arial"/>
          <w:sz w:val="20"/>
          <w:szCs w:val="20"/>
        </w:rPr>
      </w:pPr>
      <w:r w:rsidRPr="00C42DD7">
        <w:rPr>
          <w:rFonts w:ascii="Arial" w:hAnsi="Arial" w:cs="Arial"/>
          <w:sz w:val="20"/>
          <w:szCs w:val="20"/>
        </w:rPr>
        <w:t>Applying the approach to the specific circumstances of the Case Study.</w:t>
      </w:r>
    </w:p>
    <w:p w14:paraId="100FCE37" w14:textId="77777777" w:rsidR="00766DB6" w:rsidRDefault="00766DB6" w:rsidP="00766DB6">
      <w:pPr>
        <w:spacing w:before="60" w:after="60" w:line="240" w:lineRule="auto"/>
        <w:jc w:val="both"/>
        <w:rPr>
          <w:rFonts w:ascii="Arial" w:hAnsi="Arial" w:cs="Arial"/>
          <w:sz w:val="20"/>
          <w:szCs w:val="20"/>
        </w:rPr>
      </w:pPr>
      <w:r>
        <w:rPr>
          <w:rFonts w:ascii="Arial" w:hAnsi="Arial" w:cs="Arial"/>
          <w:sz w:val="20"/>
          <w:szCs w:val="20"/>
        </w:rPr>
        <w:t>Many just wrote all they knew about pensions (personal and occupational), or wrote snippets of what they had looked up (whether relevant or not), with very little attempt at application. Neither approach gained much credit.</w:t>
      </w:r>
    </w:p>
    <w:p w14:paraId="4966BE2A" w14:textId="77777777" w:rsidR="00766DB6" w:rsidRDefault="00766DB6" w:rsidP="00766DB6">
      <w:pPr>
        <w:spacing w:before="60" w:after="60" w:line="240" w:lineRule="auto"/>
        <w:jc w:val="both"/>
        <w:rPr>
          <w:rFonts w:ascii="Arial" w:hAnsi="Arial" w:cs="Arial"/>
          <w:sz w:val="20"/>
          <w:szCs w:val="20"/>
        </w:rPr>
      </w:pPr>
      <w:r>
        <w:rPr>
          <w:rFonts w:ascii="Arial" w:hAnsi="Arial" w:cs="Arial"/>
          <w:sz w:val="20"/>
          <w:szCs w:val="20"/>
        </w:rPr>
        <w:t>Many others just gave a series of calculations with little or no explanations, including an income tax computation, despite the requirement specifically stating that candidates should not do this. Less than half of the marks were available for calculations.</w:t>
      </w:r>
    </w:p>
    <w:p w14:paraId="059A3537" w14:textId="77777777" w:rsidR="00766DB6" w:rsidRDefault="00766DB6" w:rsidP="00766DB6">
      <w:pPr>
        <w:spacing w:before="60" w:after="60" w:line="240" w:lineRule="auto"/>
        <w:jc w:val="both"/>
        <w:rPr>
          <w:rFonts w:ascii="Arial" w:hAnsi="Arial" w:cs="Arial"/>
          <w:sz w:val="20"/>
          <w:szCs w:val="20"/>
        </w:rPr>
      </w:pPr>
      <w:r>
        <w:rPr>
          <w:rFonts w:ascii="Arial" w:hAnsi="Arial" w:cs="Arial"/>
          <w:sz w:val="20"/>
          <w:szCs w:val="20"/>
        </w:rPr>
        <w:t xml:space="preserve">Often explanations were not clear enough. The use of precise language/terminology is important. </w:t>
      </w:r>
    </w:p>
    <w:p w14:paraId="07F83E4C" w14:textId="152F6D5E" w:rsidR="00766DB6" w:rsidRPr="00C42DD7" w:rsidRDefault="00766DB6" w:rsidP="00766DB6">
      <w:pPr>
        <w:spacing w:before="60" w:after="60" w:line="240" w:lineRule="auto"/>
        <w:jc w:val="both"/>
        <w:rPr>
          <w:rFonts w:ascii="Arial" w:hAnsi="Arial" w:cs="Arial"/>
          <w:sz w:val="20"/>
          <w:szCs w:val="20"/>
        </w:rPr>
      </w:pPr>
      <w:r>
        <w:rPr>
          <w:rFonts w:ascii="Arial" w:hAnsi="Arial" w:cs="Arial"/>
          <w:sz w:val="20"/>
          <w:szCs w:val="20"/>
        </w:rPr>
        <w:t>For example, to say there is no personal allowance available as ‘income is too high’, is not sufficient to gain full credit. An explanation of the need to calculate the ‘adjusted net income’ (ANI), which involves taking gross personal pension contributions into account, is required. This should be followed by a statement that as ANI will exceed £125,140 in this case (with computational justification) there would be no personal allowance available.</w:t>
      </w:r>
    </w:p>
    <w:p w14:paraId="597AAFBE" w14:textId="77777777" w:rsidR="00766DB6" w:rsidRPr="00133E59" w:rsidRDefault="00766DB6" w:rsidP="00766DB6">
      <w:pPr>
        <w:spacing w:before="60" w:after="60" w:line="240" w:lineRule="auto"/>
        <w:jc w:val="both"/>
        <w:rPr>
          <w:rFonts w:ascii="Arial" w:hAnsi="Arial" w:cs="Arial"/>
          <w:b/>
          <w:bCs/>
          <w:sz w:val="8"/>
          <w:szCs w:val="8"/>
        </w:rPr>
      </w:pPr>
    </w:p>
    <w:p w14:paraId="52B4E676" w14:textId="77777777" w:rsidR="00766DB6" w:rsidRPr="00133E59" w:rsidRDefault="00766DB6" w:rsidP="00766DB6">
      <w:pPr>
        <w:spacing w:before="60" w:after="60" w:line="240" w:lineRule="auto"/>
        <w:jc w:val="both"/>
        <w:rPr>
          <w:rFonts w:ascii="Arial" w:hAnsi="Arial" w:cs="Arial"/>
          <w:b/>
          <w:bCs/>
          <w:sz w:val="8"/>
          <w:szCs w:val="8"/>
        </w:rPr>
      </w:pPr>
    </w:p>
    <w:p w14:paraId="00FA1FED" w14:textId="77777777" w:rsidR="00766DB6" w:rsidRDefault="00766DB6" w:rsidP="00766DB6">
      <w:pPr>
        <w:spacing w:before="60" w:after="60" w:line="240" w:lineRule="auto"/>
        <w:jc w:val="both"/>
        <w:rPr>
          <w:rFonts w:ascii="Arial" w:hAnsi="Arial" w:cs="Arial"/>
          <w:sz w:val="20"/>
          <w:szCs w:val="20"/>
        </w:rPr>
      </w:pPr>
      <w:r>
        <w:rPr>
          <w:rFonts w:ascii="Arial" w:hAnsi="Arial" w:cs="Arial"/>
          <w:sz w:val="20"/>
          <w:szCs w:val="20"/>
        </w:rPr>
        <w:t>In P</w:t>
      </w:r>
      <w:r w:rsidRPr="00133E59">
        <w:rPr>
          <w:rFonts w:ascii="Arial" w:hAnsi="Arial" w:cs="Arial"/>
          <w:sz w:val="20"/>
          <w:szCs w:val="20"/>
        </w:rPr>
        <w:t xml:space="preserve">art (1), </w:t>
      </w:r>
      <w:r>
        <w:rPr>
          <w:rFonts w:ascii="Arial" w:hAnsi="Arial" w:cs="Arial"/>
          <w:sz w:val="20"/>
          <w:szCs w:val="20"/>
        </w:rPr>
        <w:t>many gave a textbook definitions of threshold income and adjusted income, but then some went on to calculate them incorrectly for the scenario. Others just gave computations of them with no explanation of what they are and why we need to calculate them.</w:t>
      </w:r>
    </w:p>
    <w:p w14:paraId="16A77F86" w14:textId="77777777" w:rsidR="00766DB6" w:rsidRPr="00133E59" w:rsidRDefault="00766DB6" w:rsidP="00766DB6">
      <w:pPr>
        <w:spacing w:before="60" w:after="60" w:line="240" w:lineRule="auto"/>
        <w:jc w:val="both"/>
        <w:rPr>
          <w:rFonts w:ascii="Arial" w:hAnsi="Arial" w:cs="Arial"/>
          <w:sz w:val="20"/>
          <w:szCs w:val="20"/>
        </w:rPr>
      </w:pPr>
      <w:r>
        <w:rPr>
          <w:rFonts w:ascii="Arial" w:hAnsi="Arial" w:cs="Arial"/>
          <w:sz w:val="20"/>
          <w:szCs w:val="20"/>
        </w:rPr>
        <w:t>Many said gave the textbook definition of the formula to calculate the AA charge and said it would be taxed at the taxpayer’s marginal rate of tax, but did not calculate the charge and/or did not state what rate of tax would be applied.</w:t>
      </w:r>
    </w:p>
    <w:p w14:paraId="32D3E28A" w14:textId="77777777" w:rsidR="00766DB6" w:rsidRPr="00133E59" w:rsidRDefault="00766DB6" w:rsidP="00766DB6">
      <w:pPr>
        <w:spacing w:before="60" w:after="60" w:line="240" w:lineRule="auto"/>
        <w:jc w:val="both"/>
        <w:rPr>
          <w:rFonts w:ascii="Arial" w:hAnsi="Arial" w:cs="Arial"/>
          <w:b/>
          <w:bCs/>
          <w:sz w:val="8"/>
          <w:szCs w:val="8"/>
        </w:rPr>
      </w:pPr>
    </w:p>
    <w:p w14:paraId="05A6A995" w14:textId="77777777" w:rsidR="00766DB6" w:rsidRPr="00133E59" w:rsidRDefault="00766DB6" w:rsidP="00766DB6">
      <w:pPr>
        <w:spacing w:before="60" w:after="60" w:line="240" w:lineRule="auto"/>
        <w:jc w:val="both"/>
        <w:rPr>
          <w:rFonts w:ascii="Arial" w:hAnsi="Arial" w:cs="Arial"/>
          <w:b/>
          <w:bCs/>
          <w:sz w:val="8"/>
          <w:szCs w:val="8"/>
        </w:rPr>
      </w:pPr>
    </w:p>
    <w:p w14:paraId="65C46200" w14:textId="77777777" w:rsidR="00766DB6" w:rsidRDefault="00766DB6" w:rsidP="00766DB6">
      <w:pPr>
        <w:spacing w:before="60" w:after="60" w:line="240" w:lineRule="auto"/>
        <w:jc w:val="both"/>
        <w:rPr>
          <w:rFonts w:ascii="Arial" w:hAnsi="Arial" w:cs="Arial"/>
          <w:sz w:val="20"/>
          <w:szCs w:val="20"/>
        </w:rPr>
      </w:pPr>
      <w:r>
        <w:rPr>
          <w:rFonts w:ascii="Arial" w:hAnsi="Arial" w:cs="Arial"/>
          <w:sz w:val="20"/>
          <w:szCs w:val="20"/>
        </w:rPr>
        <w:t>In P</w:t>
      </w:r>
      <w:r w:rsidRPr="00133E59">
        <w:rPr>
          <w:rFonts w:ascii="Arial" w:hAnsi="Arial" w:cs="Arial"/>
          <w:sz w:val="20"/>
          <w:szCs w:val="20"/>
        </w:rPr>
        <w:t>art (</w:t>
      </w:r>
      <w:r>
        <w:rPr>
          <w:rFonts w:ascii="Arial" w:hAnsi="Arial" w:cs="Arial"/>
          <w:sz w:val="20"/>
          <w:szCs w:val="20"/>
        </w:rPr>
        <w:t>2</w:t>
      </w:r>
      <w:r w:rsidRPr="00133E59">
        <w:rPr>
          <w:rFonts w:ascii="Arial" w:hAnsi="Arial" w:cs="Arial"/>
          <w:sz w:val="20"/>
          <w:szCs w:val="20"/>
        </w:rPr>
        <w:t xml:space="preserve">), </w:t>
      </w:r>
      <w:r>
        <w:rPr>
          <w:rFonts w:ascii="Arial" w:hAnsi="Arial" w:cs="Arial"/>
          <w:sz w:val="20"/>
          <w:szCs w:val="20"/>
        </w:rPr>
        <w:t>in some answers, a few generic explanations were given about the effect of pensions on an income tax computation, but not how to prepare an income tax computation to audit colleagues who do not know.</w:t>
      </w:r>
    </w:p>
    <w:p w14:paraId="39F08A48" w14:textId="77777777" w:rsidR="00766DB6" w:rsidRDefault="00766DB6" w:rsidP="00766DB6">
      <w:pPr>
        <w:spacing w:before="60" w:after="60" w:line="240" w:lineRule="auto"/>
        <w:jc w:val="both"/>
        <w:rPr>
          <w:rFonts w:ascii="Arial" w:hAnsi="Arial" w:cs="Arial"/>
          <w:sz w:val="20"/>
          <w:szCs w:val="20"/>
        </w:rPr>
      </w:pPr>
      <w:r>
        <w:rPr>
          <w:rFonts w:ascii="Arial" w:hAnsi="Arial" w:cs="Arial"/>
          <w:sz w:val="20"/>
          <w:szCs w:val="20"/>
        </w:rPr>
        <w:t xml:space="preserve">Many easy marks were missed for not explaining the step-by-step approach to compute an income tax liability computation. </w:t>
      </w:r>
    </w:p>
    <w:p w14:paraId="5BF5BA15" w14:textId="77777777" w:rsidR="00766DB6" w:rsidRDefault="00766DB6" w:rsidP="00766DB6">
      <w:pPr>
        <w:spacing w:before="60" w:after="60" w:line="240" w:lineRule="auto"/>
        <w:jc w:val="both"/>
        <w:rPr>
          <w:rFonts w:ascii="Arial" w:hAnsi="Arial" w:cs="Arial"/>
          <w:sz w:val="20"/>
          <w:szCs w:val="20"/>
        </w:rPr>
      </w:pPr>
      <w:r>
        <w:rPr>
          <w:rFonts w:ascii="Arial" w:hAnsi="Arial" w:cs="Arial"/>
          <w:sz w:val="20"/>
          <w:szCs w:val="20"/>
        </w:rPr>
        <w:t>On the other hand, no marks were gained if topics which were not relevant to the scenario were explained (e.g. treatment of savings income, dividend income, deduction of reliefs, double taxation relief, PAYE deduction).</w:t>
      </w:r>
    </w:p>
    <w:p w14:paraId="7CF08DDE" w14:textId="77777777" w:rsidR="00766DB6" w:rsidRDefault="00766DB6" w:rsidP="00766DB6">
      <w:pPr>
        <w:spacing w:before="60" w:after="60" w:line="240" w:lineRule="auto"/>
        <w:jc w:val="both"/>
        <w:rPr>
          <w:rFonts w:ascii="Arial" w:hAnsi="Arial" w:cs="Arial"/>
          <w:sz w:val="20"/>
          <w:szCs w:val="20"/>
        </w:rPr>
      </w:pPr>
    </w:p>
    <w:p w14:paraId="781D4B1E" w14:textId="77777777" w:rsidR="00C71404" w:rsidRPr="00D50303" w:rsidRDefault="00C71404" w:rsidP="00C71404">
      <w:pPr>
        <w:rPr>
          <w:rFonts w:ascii="Arial" w:hAnsi="Arial" w:cs="Arial"/>
          <w:b/>
          <w:bCs/>
          <w:color w:val="0070C0"/>
          <w:sz w:val="20"/>
          <w:szCs w:val="20"/>
        </w:rPr>
      </w:pPr>
    </w:p>
    <w:p w14:paraId="7131A159" w14:textId="77777777" w:rsidR="00C71404" w:rsidRPr="00D50303" w:rsidRDefault="00C71404" w:rsidP="00725C66">
      <w:pPr>
        <w:rPr>
          <w:rFonts w:ascii="Arial" w:hAnsi="Arial" w:cs="Arial"/>
          <w:sz w:val="20"/>
          <w:szCs w:val="20"/>
        </w:rPr>
      </w:pPr>
    </w:p>
    <w:sectPr w:rsidR="00C71404" w:rsidRPr="00D5030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35EF4" w14:textId="77777777" w:rsidR="00B838DB" w:rsidRDefault="00B838DB" w:rsidP="005211FE">
      <w:pPr>
        <w:spacing w:after="0" w:line="240" w:lineRule="auto"/>
      </w:pPr>
      <w:r>
        <w:separator/>
      </w:r>
    </w:p>
  </w:endnote>
  <w:endnote w:type="continuationSeparator" w:id="0">
    <w:p w14:paraId="4F5C3429" w14:textId="77777777" w:rsidR="00B838DB" w:rsidRDefault="00B838DB" w:rsidP="0052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16652" w14:textId="77777777" w:rsidR="00B838DB" w:rsidRDefault="00B838DB" w:rsidP="005211FE">
      <w:pPr>
        <w:spacing w:after="0" w:line="240" w:lineRule="auto"/>
      </w:pPr>
      <w:r>
        <w:separator/>
      </w:r>
    </w:p>
  </w:footnote>
  <w:footnote w:type="continuationSeparator" w:id="0">
    <w:p w14:paraId="398D4B44" w14:textId="77777777" w:rsidR="00B838DB" w:rsidRDefault="00B838DB" w:rsidP="00521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4634" w14:textId="136126D3" w:rsidR="00D50303" w:rsidRPr="00D50303" w:rsidRDefault="00D50303" w:rsidP="00D50303">
    <w:pPr>
      <w:rPr>
        <w:rFonts w:ascii="Arial" w:hAnsi="Arial" w:cs="Arial"/>
        <w:b/>
        <w:bCs/>
        <w:sz w:val="20"/>
        <w:szCs w:val="20"/>
      </w:rPr>
    </w:pPr>
    <w:r w:rsidRPr="00D50303">
      <w:rPr>
        <w:rFonts w:ascii="Arial" w:hAnsi="Arial" w:cs="Arial"/>
        <w:b/>
        <w:bCs/>
        <w:sz w:val="20"/>
        <w:szCs w:val="20"/>
      </w:rPr>
      <w:t xml:space="preserve">ATT </w:t>
    </w:r>
    <w:r w:rsidR="00C9011E">
      <w:rPr>
        <w:rFonts w:ascii="Arial" w:hAnsi="Arial" w:cs="Arial"/>
        <w:b/>
        <w:bCs/>
        <w:sz w:val="20"/>
        <w:szCs w:val="20"/>
      </w:rPr>
      <w:t>May</w:t>
    </w:r>
    <w:r w:rsidR="00A5176C">
      <w:rPr>
        <w:rFonts w:ascii="Arial" w:hAnsi="Arial" w:cs="Arial"/>
        <w:b/>
        <w:bCs/>
        <w:sz w:val="20"/>
        <w:szCs w:val="20"/>
      </w:rPr>
      <w:t xml:space="preserve"> 202</w:t>
    </w:r>
    <w:r w:rsidR="00C9011E">
      <w:rPr>
        <w:rFonts w:ascii="Arial" w:hAnsi="Arial" w:cs="Arial"/>
        <w:b/>
        <w:bCs/>
        <w:sz w:val="20"/>
        <w:szCs w:val="20"/>
      </w:rPr>
      <w:t>5</w:t>
    </w:r>
  </w:p>
  <w:p w14:paraId="25DF0612" w14:textId="6270D81F" w:rsidR="00D50303" w:rsidRPr="00D50303" w:rsidRDefault="00D50303" w:rsidP="00D50303">
    <w:pPr>
      <w:rPr>
        <w:rFonts w:ascii="Arial" w:hAnsi="Arial" w:cs="Arial"/>
        <w:b/>
        <w:bCs/>
        <w:color w:val="FF0000"/>
        <w:sz w:val="20"/>
        <w:szCs w:val="20"/>
      </w:rPr>
    </w:pPr>
    <w:r w:rsidRPr="00D50303">
      <w:rPr>
        <w:rFonts w:ascii="Arial" w:hAnsi="Arial" w:cs="Arial"/>
        <w:b/>
        <w:bCs/>
        <w:sz w:val="20"/>
        <w:szCs w:val="20"/>
      </w:rPr>
      <w:t xml:space="preserve">Paper 1: Personal Taxation </w:t>
    </w:r>
  </w:p>
  <w:p w14:paraId="77F89775" w14:textId="77777777" w:rsidR="00D50303" w:rsidRPr="00D50303" w:rsidRDefault="00D50303" w:rsidP="00D50303">
    <w:pPr>
      <w:rPr>
        <w:rFonts w:ascii="Arial" w:hAnsi="Arial" w:cs="Arial"/>
        <w:b/>
        <w:bCs/>
        <w:sz w:val="20"/>
        <w:szCs w:val="20"/>
      </w:rPr>
    </w:pPr>
    <w:r w:rsidRPr="00D50303">
      <w:rPr>
        <w:rFonts w:ascii="Arial" w:hAnsi="Arial" w:cs="Arial"/>
        <w:b/>
        <w:bCs/>
        <w:sz w:val="20"/>
        <w:szCs w:val="20"/>
      </w:rPr>
      <w:t>Examiners’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C19B7"/>
    <w:multiLevelType w:val="hybridMultilevel"/>
    <w:tmpl w:val="A8961596"/>
    <w:lvl w:ilvl="0" w:tplc="BE3A59E2">
      <w:start w:val="1"/>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68525840"/>
    <w:multiLevelType w:val="hybridMultilevel"/>
    <w:tmpl w:val="327C4C8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7871914">
    <w:abstractNumId w:val="1"/>
  </w:num>
  <w:num w:numId="2" w16cid:durableId="961227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FE"/>
    <w:rsid w:val="00043B7A"/>
    <w:rsid w:val="00075144"/>
    <w:rsid w:val="000A1184"/>
    <w:rsid w:val="000E408D"/>
    <w:rsid w:val="000E4B29"/>
    <w:rsid w:val="000F3069"/>
    <w:rsid w:val="00101CCE"/>
    <w:rsid w:val="00165542"/>
    <w:rsid w:val="00167DE8"/>
    <w:rsid w:val="00171104"/>
    <w:rsid w:val="001D22E2"/>
    <w:rsid w:val="0023657D"/>
    <w:rsid w:val="00252942"/>
    <w:rsid w:val="00267642"/>
    <w:rsid w:val="002837C9"/>
    <w:rsid w:val="002C2959"/>
    <w:rsid w:val="00304897"/>
    <w:rsid w:val="003452F2"/>
    <w:rsid w:val="0037706D"/>
    <w:rsid w:val="003A6979"/>
    <w:rsid w:val="00442AE6"/>
    <w:rsid w:val="004908B0"/>
    <w:rsid w:val="0049484B"/>
    <w:rsid w:val="004A660D"/>
    <w:rsid w:val="004C09B2"/>
    <w:rsid w:val="004D1853"/>
    <w:rsid w:val="0050316F"/>
    <w:rsid w:val="005211FE"/>
    <w:rsid w:val="0055544D"/>
    <w:rsid w:val="00563F77"/>
    <w:rsid w:val="00571992"/>
    <w:rsid w:val="00573647"/>
    <w:rsid w:val="00580846"/>
    <w:rsid w:val="00590FBA"/>
    <w:rsid w:val="00597F79"/>
    <w:rsid w:val="005D404B"/>
    <w:rsid w:val="005E6992"/>
    <w:rsid w:val="005F031C"/>
    <w:rsid w:val="005F21E8"/>
    <w:rsid w:val="005F7C04"/>
    <w:rsid w:val="00641034"/>
    <w:rsid w:val="0068368F"/>
    <w:rsid w:val="00686E04"/>
    <w:rsid w:val="006A6B39"/>
    <w:rsid w:val="006A6FB3"/>
    <w:rsid w:val="006F6E83"/>
    <w:rsid w:val="00706671"/>
    <w:rsid w:val="00722D56"/>
    <w:rsid w:val="00725C66"/>
    <w:rsid w:val="00741D53"/>
    <w:rsid w:val="00766DB6"/>
    <w:rsid w:val="007822BA"/>
    <w:rsid w:val="00787086"/>
    <w:rsid w:val="007B0948"/>
    <w:rsid w:val="007C219C"/>
    <w:rsid w:val="007C77D7"/>
    <w:rsid w:val="007E7BD7"/>
    <w:rsid w:val="007F4CF9"/>
    <w:rsid w:val="008269B6"/>
    <w:rsid w:val="008A17EA"/>
    <w:rsid w:val="008A6E40"/>
    <w:rsid w:val="008B6A87"/>
    <w:rsid w:val="008D43B7"/>
    <w:rsid w:val="008D5B80"/>
    <w:rsid w:val="008E7C76"/>
    <w:rsid w:val="009346F1"/>
    <w:rsid w:val="00964EC4"/>
    <w:rsid w:val="00970239"/>
    <w:rsid w:val="00A5176C"/>
    <w:rsid w:val="00A808C2"/>
    <w:rsid w:val="00A95FB3"/>
    <w:rsid w:val="00AA2133"/>
    <w:rsid w:val="00AB48E4"/>
    <w:rsid w:val="00AD049B"/>
    <w:rsid w:val="00B05BE0"/>
    <w:rsid w:val="00B46DD7"/>
    <w:rsid w:val="00B55294"/>
    <w:rsid w:val="00B71072"/>
    <w:rsid w:val="00B838DB"/>
    <w:rsid w:val="00BE7241"/>
    <w:rsid w:val="00C530D1"/>
    <w:rsid w:val="00C64E7D"/>
    <w:rsid w:val="00C71404"/>
    <w:rsid w:val="00C9011E"/>
    <w:rsid w:val="00CC2A79"/>
    <w:rsid w:val="00CC58F8"/>
    <w:rsid w:val="00D17571"/>
    <w:rsid w:val="00D44A5A"/>
    <w:rsid w:val="00D50303"/>
    <w:rsid w:val="00DD2A69"/>
    <w:rsid w:val="00DD3164"/>
    <w:rsid w:val="00DD5D47"/>
    <w:rsid w:val="00DE3611"/>
    <w:rsid w:val="00E24624"/>
    <w:rsid w:val="00E66AA2"/>
    <w:rsid w:val="00ED2AEF"/>
    <w:rsid w:val="00F22C11"/>
    <w:rsid w:val="00FD3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2A0EF"/>
  <w15:chartTrackingRefBased/>
  <w15:docId w15:val="{A577BF92-3C6C-4049-9502-AFB3D757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1FE"/>
  </w:style>
  <w:style w:type="paragraph" w:styleId="Footer">
    <w:name w:val="footer"/>
    <w:basedOn w:val="Normal"/>
    <w:link w:val="FooterChar"/>
    <w:uiPriority w:val="99"/>
    <w:unhideWhenUsed/>
    <w:rsid w:val="00521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1FE"/>
  </w:style>
  <w:style w:type="paragraph" w:styleId="ListParagraph">
    <w:name w:val="List Paragraph"/>
    <w:basedOn w:val="Normal"/>
    <w:uiPriority w:val="34"/>
    <w:qFormat/>
    <w:rsid w:val="00766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BB2E46AF2E0141B46652E03C512568" ma:contentTypeVersion="18" ma:contentTypeDescription="Create a new document." ma:contentTypeScope="" ma:versionID="f4a6c4181a509be09fcf48ce03184058">
  <xsd:schema xmlns:xsd="http://www.w3.org/2001/XMLSchema" xmlns:xs="http://www.w3.org/2001/XMLSchema" xmlns:p="http://schemas.microsoft.com/office/2006/metadata/properties" xmlns:ns2="46be1880-17cd-423d-a323-4739b9dfc94e" xmlns:ns3="9f6def9a-651c-49a3-87bf-572377933c6d" xmlns:ns4="8d58213b-690a-4f05-96a7-f9027d42f364" targetNamespace="http://schemas.microsoft.com/office/2006/metadata/properties" ma:root="true" ma:fieldsID="de13790c5445cbbcb81085c0074c9921" ns2:_="" ns3:_="" ns4:_="">
    <xsd:import namespace="46be1880-17cd-423d-a323-4739b9dfc94e"/>
    <xsd:import namespace="9f6def9a-651c-49a3-87bf-572377933c6d"/>
    <xsd:import namespace="8d58213b-690a-4f05-96a7-f9027d42f3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e1880-17cd-423d-a323-4739b9dfc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757387-a0ba-41cd-b63d-93ef6f3529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def9a-651c-49a3-87bf-572377933c6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8213b-690a-4f05-96a7-f9027d42f36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6f12e96-6595-479f-aff4-23ad36a288db}" ma:internalName="TaxCatchAll" ma:showField="CatchAllData" ma:web="8d58213b-690a-4f05-96a7-f9027d42f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be1880-17cd-423d-a323-4739b9dfc94e">
      <Terms xmlns="http://schemas.microsoft.com/office/infopath/2007/PartnerControls"/>
    </lcf76f155ced4ddcb4097134ff3c332f>
    <TaxCatchAll xmlns="8d58213b-690a-4f05-96a7-f9027d42f364" xsi:nil="true"/>
  </documentManagement>
</p:properties>
</file>

<file path=customXml/itemProps1.xml><?xml version="1.0" encoding="utf-8"?>
<ds:datastoreItem xmlns:ds="http://schemas.openxmlformats.org/officeDocument/2006/customXml" ds:itemID="{D06CC6B4-EDDB-447D-A4BC-CFA250A2F041}"/>
</file>

<file path=customXml/itemProps2.xml><?xml version="1.0" encoding="utf-8"?>
<ds:datastoreItem xmlns:ds="http://schemas.openxmlformats.org/officeDocument/2006/customXml" ds:itemID="{15D028F2-A107-4794-8C4B-E7675F6222CA}"/>
</file>

<file path=customXml/itemProps3.xml><?xml version="1.0" encoding="utf-8"?>
<ds:datastoreItem xmlns:ds="http://schemas.openxmlformats.org/officeDocument/2006/customXml" ds:itemID="{040469CF-8491-47FE-8F53-B78C9AB779B1}"/>
</file>

<file path=docProps/app.xml><?xml version="1.0" encoding="utf-8"?>
<Properties xmlns="http://schemas.openxmlformats.org/officeDocument/2006/extended-properties" xmlns:vt="http://schemas.openxmlformats.org/officeDocument/2006/docPropsVTypes">
  <Template>Normal</Template>
  <TotalTime>1</TotalTime>
  <Pages>5</Pages>
  <Words>2652</Words>
  <Characters>13546</Characters>
  <Application>Microsoft Office Word</Application>
  <DocSecurity>0</DocSecurity>
  <Lines>223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Stainton</dc:creator>
  <cp:keywords/>
  <dc:description/>
  <cp:lastModifiedBy>Helen Stainton</cp:lastModifiedBy>
  <cp:revision>4</cp:revision>
  <dcterms:created xsi:type="dcterms:W3CDTF">2025-12-05T15:01:00Z</dcterms:created>
  <dcterms:modified xsi:type="dcterms:W3CDTF">2025-12-05T15:02:00Z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0x01010011BB2E46AF2E0141B46652E03C512568</vt:lpwstr>
  </property>
</Properties>
</file>