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49DD" w14:textId="77777777" w:rsidR="00F37C83" w:rsidRDefault="00000000">
      <w:pPr>
        <w:pStyle w:val="Body"/>
        <w:jc w:val="center"/>
        <w:rPr>
          <w:sz w:val="32"/>
          <w:szCs w:val="32"/>
        </w:rPr>
      </w:pPr>
      <w:bookmarkStart w:id="0" w:name="_Hlk181787157"/>
      <w:r>
        <w:rPr>
          <w:noProof/>
        </w:rPr>
        <w:drawing>
          <wp:inline distT="0" distB="0" distL="0" distR="0" wp14:anchorId="368F5EC8" wp14:editId="35340216">
            <wp:extent cx="2098040" cy="1371600"/>
            <wp:effectExtent l="0" t="0" r="0" b="0"/>
            <wp:docPr id="1073741825" name="officeArt object" descr="A blue logo with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blue logo with a white backgroundDescription automatically generated" descr="A blue logo with a white background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7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DF9D6B" w14:textId="77777777" w:rsidR="00F37C83" w:rsidRDefault="00F37C83">
      <w:pPr>
        <w:pStyle w:val="Body"/>
        <w:spacing w:before="240" w:after="240"/>
        <w:jc w:val="center"/>
        <w:rPr>
          <w:sz w:val="32"/>
          <w:szCs w:val="32"/>
        </w:rPr>
      </w:pPr>
    </w:p>
    <w:p w14:paraId="65A6EEB5" w14:textId="77777777" w:rsidR="00F37C83" w:rsidRDefault="00F37C83">
      <w:pPr>
        <w:pStyle w:val="Body"/>
        <w:spacing w:before="240" w:after="240"/>
        <w:jc w:val="center"/>
        <w:rPr>
          <w:sz w:val="32"/>
          <w:szCs w:val="32"/>
        </w:rPr>
      </w:pPr>
    </w:p>
    <w:p w14:paraId="5020719E" w14:textId="77777777" w:rsidR="00F37C83" w:rsidRDefault="00F37C83">
      <w:pPr>
        <w:pStyle w:val="Body"/>
        <w:spacing w:before="240" w:after="240"/>
        <w:jc w:val="center"/>
        <w:rPr>
          <w:sz w:val="32"/>
          <w:szCs w:val="32"/>
        </w:rPr>
      </w:pPr>
    </w:p>
    <w:p w14:paraId="07B38867" w14:textId="77777777" w:rsidR="00F37C83" w:rsidRDefault="00F37C83">
      <w:pPr>
        <w:pStyle w:val="Body"/>
        <w:spacing w:before="240" w:after="240"/>
        <w:jc w:val="center"/>
        <w:rPr>
          <w:sz w:val="32"/>
          <w:szCs w:val="32"/>
        </w:rPr>
      </w:pPr>
    </w:p>
    <w:p w14:paraId="0D848E45" w14:textId="77777777" w:rsidR="00F37C83" w:rsidRDefault="00000000">
      <w:pPr>
        <w:pStyle w:val="Heading"/>
        <w:ind w:left="567" w:hanging="283"/>
        <w:jc w:val="center"/>
      </w:pPr>
      <w:r>
        <w:rPr>
          <w:rFonts w:ascii="Arial" w:hAnsi="Arial"/>
          <w:color w:val="000000"/>
          <w:sz w:val="40"/>
          <w:szCs w:val="40"/>
          <w:u w:color="000000"/>
        </w:rPr>
        <w:t>May 2025 Examination</w:t>
      </w:r>
    </w:p>
    <w:p w14:paraId="31529F0B" w14:textId="77777777" w:rsidR="00F37C83" w:rsidRDefault="00000000">
      <w:pPr>
        <w:pStyle w:val="Heading2"/>
        <w:pBdr>
          <w:top w:val="single" w:sz="4" w:space="0" w:color="000000"/>
          <w:bottom w:val="single" w:sz="4" w:space="0" w:color="000000"/>
        </w:pBdr>
        <w:spacing w:before="120" w:after="120"/>
        <w:ind w:left="2410" w:right="2388"/>
        <w:jc w:val="center"/>
        <w:rPr>
          <w:rFonts w:ascii="Arial" w:eastAsia="Arial" w:hAnsi="Arial" w:cs="Arial"/>
          <w:b w:val="0"/>
          <w:bCs w:val="0"/>
          <w:sz w:val="32"/>
          <w:szCs w:val="32"/>
        </w:rPr>
      </w:pPr>
      <w:r>
        <w:rPr>
          <w:rFonts w:ascii="Arial" w:hAnsi="Arial"/>
          <w:sz w:val="32"/>
          <w:szCs w:val="32"/>
        </w:rPr>
        <w:t>PAPER 6</w:t>
      </w:r>
    </w:p>
    <w:p w14:paraId="49AC48C1" w14:textId="77777777" w:rsidR="00F37C83" w:rsidRDefault="00000000">
      <w:pPr>
        <w:pStyle w:val="Heading3"/>
        <w:tabs>
          <w:tab w:val="left" w:pos="6946"/>
        </w:tabs>
        <w:spacing w:before="240"/>
        <w:jc w:val="center"/>
        <w:rPr>
          <w:rFonts w:ascii="Arial" w:eastAsia="Arial" w:hAnsi="Arial" w:cs="Arial"/>
          <w:b w:val="0"/>
          <w:bCs w:val="0"/>
          <w:sz w:val="28"/>
          <w:szCs w:val="28"/>
        </w:rPr>
      </w:pPr>
      <w:r>
        <w:rPr>
          <w:rFonts w:ascii="Arial" w:hAnsi="Arial"/>
          <w:sz w:val="28"/>
          <w:szCs w:val="28"/>
        </w:rPr>
        <w:t>VAT</w:t>
      </w:r>
    </w:p>
    <w:p w14:paraId="716FF332" w14:textId="77777777" w:rsidR="00F37C83" w:rsidRDefault="00000000">
      <w:pPr>
        <w:pStyle w:val="Body"/>
        <w:pBdr>
          <w:top w:val="single" w:sz="6" w:space="0" w:color="000000"/>
          <w:bottom w:val="single" w:sz="6" w:space="0" w:color="000000"/>
        </w:pBdr>
        <w:ind w:left="2410" w:right="2388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Suggested Answers</w:t>
      </w:r>
    </w:p>
    <w:p w14:paraId="6ED1B242" w14:textId="77777777" w:rsidR="00F37C83" w:rsidRDefault="00000000">
      <w:pPr>
        <w:pStyle w:val="Body"/>
        <w:spacing w:before="100" w:after="10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Candidates will be given credit for relevant points not on the mark scheme.</w:t>
      </w:r>
      <w:bookmarkEnd w:id="0"/>
    </w:p>
    <w:p w14:paraId="7DB079CC" w14:textId="77777777" w:rsidR="00F37C83" w:rsidRDefault="00F37C83">
      <w:pPr>
        <w:pStyle w:val="Body"/>
        <w:rPr>
          <w:rFonts w:ascii="Arial" w:eastAsia="Arial" w:hAnsi="Arial" w:cs="Arial"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3D6FA2" w14:textId="77777777" w:rsidR="00F37C83" w:rsidRDefault="00000000">
      <w:pPr>
        <w:pStyle w:val="Body"/>
      </w:pPr>
      <w:r>
        <w:rPr>
          <w:rFonts w:ascii="Arial Unicode MS" w:hAnsi="Arial Unicode MS"/>
          <w:sz w:val="20"/>
          <w:szCs w:val="20"/>
        </w:rPr>
        <w:br w:type="page"/>
      </w:r>
    </w:p>
    <w:p w14:paraId="2DF082AD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1.</w:t>
      </w:r>
    </w:p>
    <w:p w14:paraId="7ED2052E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5A1DA9D9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 a</w:t>
      </w:r>
      <w:proofErr w:type="gramStart"/>
      <w:r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ab/>
        <w:t>This</w:t>
      </w:r>
      <w:proofErr w:type="gramEnd"/>
      <w:r>
        <w:rPr>
          <w:rFonts w:ascii="Arial" w:hAnsi="Arial"/>
          <w:sz w:val="20"/>
          <w:szCs w:val="20"/>
        </w:rPr>
        <w:t xml:space="preserve"> is a zero-</w:t>
      </w:r>
      <w:proofErr w:type="gramStart"/>
      <w:r>
        <w:rPr>
          <w:rFonts w:ascii="Arial" w:hAnsi="Arial"/>
          <w:sz w:val="20"/>
          <w:szCs w:val="20"/>
        </w:rPr>
        <w:t>rated</w:t>
      </w:r>
      <w:proofErr w:type="gramEnd"/>
      <w:r>
        <w:rPr>
          <w:rFonts w:ascii="Arial" w:hAnsi="Arial"/>
          <w:sz w:val="20"/>
          <w:szCs w:val="20"/>
        </w:rPr>
        <w:t xml:space="preserve"> export of goods. </w:t>
      </w:r>
      <w:r>
        <w:rPr>
          <w:rFonts w:ascii="Arial" w:hAnsi="Arial"/>
          <w:b/>
          <w:bCs/>
          <w:color w:val="EE220C"/>
          <w:sz w:val="20"/>
          <w:szCs w:val="20"/>
          <w:u w:color="EE220C"/>
        </w:rPr>
        <w:t>(1)</w:t>
      </w:r>
    </w:p>
    <w:p w14:paraId="3F09D8A7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77C94AF1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  <w:t xml:space="preserve">This is a standard-rated supply of goods. </w:t>
      </w:r>
      <w:r>
        <w:rPr>
          <w:rFonts w:ascii="Arial" w:hAnsi="Arial"/>
          <w:b/>
          <w:bCs/>
          <w:color w:val="EE220C"/>
          <w:sz w:val="20"/>
          <w:szCs w:val="20"/>
          <w:u w:color="EE220C"/>
        </w:rPr>
        <w:t>(1)</w:t>
      </w:r>
    </w:p>
    <w:p w14:paraId="004CFC50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247826D0" w14:textId="77777777" w:rsidR="00F37C83" w:rsidRDefault="00000000">
      <w:pPr>
        <w:pStyle w:val="Default"/>
        <w:spacing w:before="0" w:after="400" w:line="240" w:lineRule="auto"/>
        <w:rPr>
          <w:rFonts w:ascii="Arial" w:eastAsia="Arial" w:hAnsi="Arial" w:cs="Arial"/>
          <w:color w:val="0B0C0C"/>
          <w:sz w:val="20"/>
          <w:szCs w:val="20"/>
          <w:u w:color="0B0C0C"/>
        </w:rPr>
      </w:pPr>
      <w:r>
        <w:rPr>
          <w:rFonts w:ascii="Arial" w:hAnsi="Arial"/>
          <w:color w:val="0B0C0C"/>
          <w:sz w:val="20"/>
          <w:szCs w:val="20"/>
          <w:u w:color="0B0C0C"/>
        </w:rPr>
        <w:t>c)</w:t>
      </w:r>
      <w:r>
        <w:rPr>
          <w:rFonts w:ascii="Arial" w:hAnsi="Arial"/>
          <w:color w:val="0B0C0C"/>
          <w:sz w:val="20"/>
          <w:szCs w:val="20"/>
          <w:u w:color="0B0C0C"/>
        </w:rPr>
        <w:tab/>
        <w:t xml:space="preserve">This is a standard-rated movement of own goods. Maria will need to account for VAT as output VAT on her VAT Return. </w:t>
      </w:r>
      <w:r>
        <w:rPr>
          <w:rFonts w:ascii="Arial" w:hAnsi="Arial"/>
          <w:b/>
          <w:bCs/>
          <w:color w:val="EE220C"/>
          <w:sz w:val="20"/>
          <w:szCs w:val="20"/>
          <w:u w:color="EE220C"/>
        </w:rPr>
        <w:t>(1)</w:t>
      </w:r>
    </w:p>
    <w:p w14:paraId="3075B150" w14:textId="77777777" w:rsidR="00F37C83" w:rsidRDefault="00000000">
      <w:pPr>
        <w:pStyle w:val="Default"/>
        <w:spacing w:before="0" w:after="400" w:line="240" w:lineRule="auto"/>
        <w:rPr>
          <w:rFonts w:ascii="Arial" w:eastAsia="Arial" w:hAnsi="Arial" w:cs="Arial"/>
          <w:b/>
          <w:bCs/>
          <w:color w:val="FF0000"/>
          <w:sz w:val="20"/>
          <w:szCs w:val="20"/>
          <w:u w:color="FF0000"/>
        </w:rPr>
      </w:pPr>
      <w:r>
        <w:rPr>
          <w:rFonts w:ascii="Arial" w:hAnsi="Arial"/>
          <w:color w:val="0B0C0C"/>
          <w:sz w:val="20"/>
          <w:szCs w:val="20"/>
          <w:u w:color="0B0C0C"/>
        </w:rPr>
        <w:t xml:space="preserve">As the goods are being used for taxable sales, the VAT may also be reclaimed as input VAT on the same VAT return, subject to the normal rules. </w:t>
      </w:r>
      <w:r>
        <w:rPr>
          <w:rFonts w:ascii="Arial" w:hAnsi="Arial"/>
          <w:b/>
          <w:bCs/>
          <w:color w:val="EE220C"/>
          <w:sz w:val="20"/>
          <w:szCs w:val="20"/>
          <w:u w:color="EE220C"/>
        </w:rPr>
        <w:t>(1)</w:t>
      </w:r>
    </w:p>
    <w:p w14:paraId="1F4546AA" w14:textId="77777777" w:rsidR="00F37C83" w:rsidRDefault="00F37C83">
      <w:pPr>
        <w:pStyle w:val="Body"/>
        <w:rPr>
          <w:rFonts w:ascii="Arial" w:eastAsia="Arial" w:hAnsi="Arial" w:cs="Arial"/>
          <w:color w:val="0B0C0C"/>
          <w:sz w:val="20"/>
          <w:szCs w:val="20"/>
          <w:u w:color="0B0C0C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B4B35C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</w:t>
      </w:r>
    </w:p>
    <w:p w14:paraId="1251B4D4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6392EBC6" w14:textId="77777777" w:rsidR="00F37C83" w:rsidRDefault="00000000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Sample tasters</w:t>
      </w:r>
    </w:p>
    <w:p w14:paraId="166C0511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Input tax</w:t>
      </w:r>
      <w:proofErr w:type="gramEnd"/>
      <w:r>
        <w:rPr>
          <w:rFonts w:ascii="Arial" w:hAnsi="Arial"/>
          <w:sz w:val="20"/>
          <w:szCs w:val="20"/>
        </w:rPr>
        <w:t xml:space="preserve"> on the purchase of the samples is reclaimable </w:t>
      </w:r>
      <w:r>
        <w:rPr>
          <w:rFonts w:ascii="Arial" w:hAnsi="Arial"/>
          <w:b/>
          <w:bCs/>
          <w:color w:val="EE220C"/>
          <w:sz w:val="20"/>
          <w:szCs w:val="20"/>
          <w:u w:color="EE220C"/>
        </w:rPr>
        <w:t>(1)</w:t>
      </w:r>
      <w:r>
        <w:rPr>
          <w:rFonts w:ascii="Arial" w:hAnsi="Arial"/>
          <w:sz w:val="20"/>
          <w:szCs w:val="20"/>
        </w:rPr>
        <w:t xml:space="preserve">. No output tax is due on the free samples provided they meet the criteria for being a sample. </w:t>
      </w:r>
      <w:r>
        <w:rPr>
          <w:rFonts w:ascii="Arial" w:hAnsi="Arial"/>
          <w:b/>
          <w:bCs/>
          <w:color w:val="EE220C"/>
          <w:sz w:val="20"/>
          <w:szCs w:val="20"/>
          <w:u w:color="EE220C"/>
        </w:rPr>
        <w:t>(1)</w:t>
      </w:r>
      <w:r>
        <w:rPr>
          <w:rFonts w:ascii="Arial" w:hAnsi="Arial"/>
          <w:sz w:val="20"/>
          <w:szCs w:val="20"/>
        </w:rPr>
        <w:t xml:space="preserve"> Each sample of each wine should be sufficient to assess the qualities of the wine without being excessive. Otherwise, the rules for free gifts would apply.</w:t>
      </w:r>
    </w:p>
    <w:p w14:paraId="490B1380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48F7E36D" w14:textId="77777777" w:rsidR="00F37C83" w:rsidRDefault="00000000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Free bottles of wine</w:t>
      </w:r>
    </w:p>
    <w:p w14:paraId="68DCA2D7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These are gifts of goods carried out for business promotional reasons. The cost to Maria of these gifts is £16 per year </w:t>
      </w:r>
      <w:proofErr w:type="gramStart"/>
      <w:r>
        <w:rPr>
          <w:rFonts w:ascii="Arial" w:hAnsi="Arial"/>
          <w:sz w:val="20"/>
          <w:szCs w:val="20"/>
        </w:rPr>
        <w:t>to</w:t>
      </w:r>
      <w:proofErr w:type="gramEnd"/>
      <w:r>
        <w:rPr>
          <w:rFonts w:ascii="Arial" w:hAnsi="Arial"/>
          <w:sz w:val="20"/>
          <w:szCs w:val="20"/>
        </w:rPr>
        <w:t xml:space="preserve"> each customer.  As such, </w:t>
      </w:r>
      <w:proofErr w:type="gramStart"/>
      <w:r>
        <w:rPr>
          <w:rFonts w:ascii="Arial" w:hAnsi="Arial"/>
          <w:sz w:val="20"/>
          <w:szCs w:val="20"/>
        </w:rPr>
        <w:t>assuming that</w:t>
      </w:r>
      <w:proofErr w:type="gramEnd"/>
      <w:r>
        <w:rPr>
          <w:rFonts w:ascii="Arial" w:hAnsi="Arial"/>
          <w:sz w:val="20"/>
          <w:szCs w:val="20"/>
        </w:rPr>
        <w:t xml:space="preserve"> the total value of gifts </w:t>
      </w:r>
      <w:proofErr w:type="gramStart"/>
      <w:r>
        <w:rPr>
          <w:rFonts w:ascii="Arial" w:hAnsi="Arial"/>
          <w:sz w:val="20"/>
          <w:szCs w:val="20"/>
        </w:rPr>
        <w:t>to</w:t>
      </w:r>
      <w:proofErr w:type="gramEnd"/>
      <w:r>
        <w:rPr>
          <w:rFonts w:ascii="Arial" w:hAnsi="Arial"/>
          <w:sz w:val="20"/>
          <w:szCs w:val="20"/>
        </w:rPr>
        <w:t xml:space="preserve"> the same customers does not exceed £50 in the same 12 </w:t>
      </w:r>
      <w:proofErr w:type="gramStart"/>
      <w:r>
        <w:rPr>
          <w:rFonts w:ascii="Arial" w:hAnsi="Arial"/>
          <w:sz w:val="20"/>
          <w:szCs w:val="20"/>
        </w:rPr>
        <w:t>months</w:t>
      </w:r>
      <w:proofErr w:type="gramEnd"/>
      <w:r>
        <w:rPr>
          <w:rFonts w:ascii="Arial" w:hAnsi="Arial"/>
          <w:sz w:val="20"/>
          <w:szCs w:val="20"/>
        </w:rPr>
        <w:t xml:space="preserve"> she is entitled to recover the related input tax in full </w:t>
      </w:r>
      <w:r>
        <w:rPr>
          <w:rFonts w:ascii="Arial" w:hAnsi="Arial"/>
          <w:b/>
          <w:bCs/>
          <w:color w:val="EE220C"/>
          <w:sz w:val="20"/>
          <w:szCs w:val="20"/>
          <w:u w:color="EE220C"/>
        </w:rPr>
        <w:t>(1)</w:t>
      </w:r>
      <w:r>
        <w:rPr>
          <w:rFonts w:ascii="Arial" w:hAnsi="Arial"/>
          <w:sz w:val="20"/>
          <w:szCs w:val="20"/>
        </w:rPr>
        <w:t xml:space="preserve"> with no equivalent output tax charge </w:t>
      </w:r>
      <w:r>
        <w:rPr>
          <w:rFonts w:ascii="Arial" w:hAnsi="Arial"/>
          <w:b/>
          <w:bCs/>
          <w:color w:val="EE220C"/>
          <w:sz w:val="20"/>
          <w:szCs w:val="20"/>
          <w:u w:color="EE220C"/>
        </w:rPr>
        <w:t>(1)</w:t>
      </w:r>
      <w:r>
        <w:rPr>
          <w:rFonts w:ascii="Arial" w:hAnsi="Arial"/>
          <w:sz w:val="20"/>
          <w:szCs w:val="20"/>
        </w:rPr>
        <w:t>.</w:t>
      </w:r>
    </w:p>
    <w:p w14:paraId="735FEE90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4250100F" w14:textId="77777777" w:rsidR="00F37C83" w:rsidRDefault="00000000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Waive of corkage fee</w:t>
      </w:r>
    </w:p>
    <w:p w14:paraId="1484F222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Candidates writing either of these answers will gain the mark:</w:t>
      </w:r>
    </w:p>
    <w:p w14:paraId="4B49BE4B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67162912" w14:textId="77777777" w:rsidR="00F37C83" w:rsidRDefault="00000000">
      <w:pPr>
        <w:pStyle w:val="BodyA"/>
        <w:rPr>
          <w:rFonts w:ascii="Arial" w:eastAsia="Arial" w:hAnsi="Arial" w:cs="Arial"/>
          <w:b/>
          <w:bCs/>
          <w:color w:val="EE220C"/>
          <w:sz w:val="20"/>
          <w:szCs w:val="20"/>
          <w:u w:color="EE220C"/>
        </w:rPr>
      </w:pPr>
      <w:r>
        <w:rPr>
          <w:rFonts w:ascii="Arial" w:hAnsi="Arial"/>
          <w:sz w:val="20"/>
          <w:szCs w:val="20"/>
        </w:rPr>
        <w:t xml:space="preserve">Waiving the corkage fee is akin to </w:t>
      </w:r>
      <w:proofErr w:type="gramStart"/>
      <w:r>
        <w:rPr>
          <w:rFonts w:ascii="Arial" w:hAnsi="Arial"/>
          <w:sz w:val="20"/>
          <w:szCs w:val="20"/>
        </w:rPr>
        <w:t>waiving</w:t>
      </w:r>
      <w:proofErr w:type="gramEnd"/>
      <w:r>
        <w:rPr>
          <w:rFonts w:ascii="Arial" w:hAnsi="Arial"/>
          <w:sz w:val="20"/>
          <w:szCs w:val="20"/>
        </w:rPr>
        <w:t xml:space="preserve"> the charge for service. As such, there are no input tax or output tax consequences of this free supply of services (supplied ‘in-house’). </w:t>
      </w:r>
      <w:r>
        <w:rPr>
          <w:rFonts w:ascii="Arial" w:hAnsi="Arial"/>
          <w:b/>
          <w:bCs/>
          <w:color w:val="EE220C"/>
          <w:sz w:val="20"/>
          <w:szCs w:val="20"/>
          <w:u w:color="EE220C"/>
        </w:rPr>
        <w:t>(2)</w:t>
      </w:r>
    </w:p>
    <w:p w14:paraId="583291F9" w14:textId="77777777" w:rsidR="00F37C83" w:rsidRDefault="00F37C83">
      <w:pPr>
        <w:pStyle w:val="BodyA"/>
        <w:rPr>
          <w:rFonts w:ascii="Arial" w:eastAsia="Arial" w:hAnsi="Arial" w:cs="Arial"/>
          <w:b/>
          <w:bCs/>
          <w:color w:val="EE220C"/>
          <w:sz w:val="20"/>
          <w:szCs w:val="20"/>
          <w:u w:color="EE220C"/>
        </w:rPr>
      </w:pPr>
    </w:p>
    <w:p w14:paraId="2716CFA8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u w:color="EE220C"/>
        </w:rPr>
        <w:t xml:space="preserve">Alternatively, Maria should treat this as a discount on the drink-in price of the bottle. Input VAT on the purchase of the bottle should be recovered in the usual way </w:t>
      </w:r>
      <w:r>
        <w:rPr>
          <w:rFonts w:ascii="Arial" w:hAnsi="Arial"/>
          <w:b/>
          <w:bCs/>
          <w:color w:val="EE220C"/>
          <w:sz w:val="20"/>
          <w:szCs w:val="20"/>
          <w:u w:color="EE220C"/>
        </w:rPr>
        <w:t>(1)</w:t>
      </w:r>
      <w:r>
        <w:rPr>
          <w:rFonts w:ascii="Arial" w:hAnsi="Arial"/>
          <w:sz w:val="20"/>
          <w:szCs w:val="20"/>
          <w:u w:color="EE220C"/>
        </w:rPr>
        <w:t xml:space="preserve">, and output VAT accounted </w:t>
      </w:r>
      <w:proofErr w:type="gramStart"/>
      <w:r>
        <w:rPr>
          <w:rFonts w:ascii="Arial" w:hAnsi="Arial"/>
          <w:sz w:val="20"/>
          <w:szCs w:val="20"/>
          <w:u w:color="EE220C"/>
        </w:rPr>
        <w:t>on</w:t>
      </w:r>
      <w:proofErr w:type="gramEnd"/>
      <w:r>
        <w:rPr>
          <w:rFonts w:ascii="Arial" w:hAnsi="Arial"/>
          <w:sz w:val="20"/>
          <w:szCs w:val="20"/>
          <w:u w:color="EE220C"/>
        </w:rPr>
        <w:t xml:space="preserve"> the discounted price of the bottle. </w:t>
      </w:r>
      <w:r>
        <w:rPr>
          <w:rFonts w:ascii="Arial" w:hAnsi="Arial"/>
          <w:b/>
          <w:bCs/>
          <w:color w:val="EE220C"/>
          <w:sz w:val="20"/>
          <w:szCs w:val="20"/>
          <w:u w:color="EE220C"/>
        </w:rPr>
        <w:t>(1)</w:t>
      </w:r>
    </w:p>
    <w:p w14:paraId="31291D79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15C82B4" w14:textId="77777777" w:rsidR="00F37C83" w:rsidRDefault="00000000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Gift card</w:t>
      </w:r>
    </w:p>
    <w:p w14:paraId="250EDB68" w14:textId="77777777" w:rsidR="00F37C83" w:rsidRDefault="00000000">
      <w:pPr>
        <w:pStyle w:val="BodyA"/>
        <w:rPr>
          <w:rFonts w:ascii="Arial" w:eastAsia="Arial" w:hAnsi="Arial" w:cs="Arial"/>
          <w:b/>
          <w:bCs/>
          <w:color w:val="FF2600"/>
          <w:sz w:val="20"/>
          <w:szCs w:val="20"/>
          <w:u w:color="FF2600"/>
        </w:rPr>
      </w:pPr>
      <w:r>
        <w:rPr>
          <w:rFonts w:ascii="Arial" w:hAnsi="Arial"/>
          <w:sz w:val="20"/>
          <w:szCs w:val="20"/>
        </w:rPr>
        <w:t xml:space="preserve">The present of the £75 gift card to staff at Christmas time is regarded as the supply of a Single-Purpose voucher as the voucher can only be redeemed against goods chargeable to the same rate of VAT.  This is therefore a supply of goods and, as the cost exceeds £50, the gift rules do not apply </w:t>
      </w:r>
      <w:r>
        <w:rPr>
          <w:rFonts w:ascii="Arial" w:hAnsi="Arial"/>
          <w:b/>
          <w:bCs/>
          <w:color w:val="EE220C"/>
          <w:sz w:val="20"/>
          <w:szCs w:val="20"/>
          <w:u w:color="EE220C"/>
        </w:rPr>
        <w:t>(1)</w:t>
      </w:r>
      <w:r>
        <w:rPr>
          <w:rFonts w:ascii="Arial" w:hAnsi="Arial"/>
          <w:sz w:val="20"/>
          <w:szCs w:val="20"/>
        </w:rPr>
        <w:t>. As the gift card can only be redeemed against standard-rated goods output tax is due on the cost value.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 xml:space="preserve"> (1)</w:t>
      </w:r>
      <w:r>
        <w:rPr>
          <w:rFonts w:ascii="Arial" w:hAnsi="Arial"/>
          <w:sz w:val="20"/>
          <w:szCs w:val="20"/>
        </w:rPr>
        <w:t xml:space="preserve"> Input tax is recoverable in full on the purchase of the voucher, subject to the usual rules.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 xml:space="preserve">(1). </w:t>
      </w:r>
    </w:p>
    <w:p w14:paraId="4603D81B" w14:textId="77777777" w:rsidR="00F37C83" w:rsidRDefault="00F37C83">
      <w:pPr>
        <w:pStyle w:val="BodyA"/>
        <w:rPr>
          <w:rFonts w:ascii="Arial" w:eastAsia="Arial" w:hAnsi="Arial" w:cs="Arial"/>
          <w:b/>
          <w:bCs/>
          <w:color w:val="FF2600"/>
          <w:sz w:val="20"/>
          <w:szCs w:val="20"/>
          <w:u w:color="FF2600"/>
        </w:rPr>
      </w:pPr>
    </w:p>
    <w:p w14:paraId="1C866DE9" w14:textId="77777777" w:rsidR="00F37C83" w:rsidRDefault="00000000">
      <w:pPr>
        <w:pStyle w:val="BodyA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color w:val="FF0000"/>
          <w:sz w:val="20"/>
          <w:szCs w:val="20"/>
          <w:u w:color="FF0000"/>
        </w:rPr>
        <w:t>Maximum 7 marks</w:t>
      </w:r>
    </w:p>
    <w:p w14:paraId="6C333EE9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0501647D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3) </w:t>
      </w:r>
    </w:p>
    <w:p w14:paraId="2178BBFF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2FD0DC09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Maria is entitled to recover input VAT on the purchase of the wine as the wine was destined for sale in the shop/bar.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  <w:r>
        <w:rPr>
          <w:rFonts w:ascii="Arial" w:hAnsi="Arial"/>
          <w:sz w:val="20"/>
          <w:szCs w:val="20"/>
        </w:rPr>
        <w:t xml:space="preserve"> On this basis, Maria will need to make an output tax charge on the bottle which is calculated as the VAT due </w:t>
      </w:r>
      <w:proofErr w:type="gramStart"/>
      <w:r>
        <w:rPr>
          <w:rFonts w:ascii="Arial" w:hAnsi="Arial"/>
          <w:sz w:val="20"/>
          <w:szCs w:val="20"/>
        </w:rPr>
        <w:t>on</w:t>
      </w:r>
      <w:proofErr w:type="gramEnd"/>
      <w:r>
        <w:rPr>
          <w:rFonts w:ascii="Arial" w:hAnsi="Arial"/>
          <w:sz w:val="20"/>
          <w:szCs w:val="20"/>
        </w:rPr>
        <w:t xml:space="preserve"> the cost of the bottle (£12) when she takes it home for personal use.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</w:p>
    <w:p w14:paraId="7A961A29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6B768F60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4)</w:t>
      </w:r>
    </w:p>
    <w:p w14:paraId="3E675913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DD109D7" w14:textId="77777777" w:rsidR="00F37C83" w:rsidRDefault="00000000">
      <w:pPr>
        <w:pStyle w:val="BodyA"/>
        <w:rPr>
          <w:rFonts w:ascii="Arial" w:eastAsia="Arial" w:hAnsi="Arial" w:cs="Arial"/>
          <w:b/>
          <w:bCs/>
          <w:color w:val="FF2600"/>
          <w:sz w:val="20"/>
          <w:szCs w:val="20"/>
          <w:u w:color="FF2600"/>
        </w:rPr>
      </w:pPr>
      <w:r>
        <w:rPr>
          <w:rFonts w:ascii="Arial" w:hAnsi="Arial"/>
          <w:sz w:val="20"/>
          <w:szCs w:val="20"/>
        </w:rPr>
        <w:t xml:space="preserve">This is a barter transaction. Maria must account for VAT on the supply of </w:t>
      </w:r>
      <w:proofErr w:type="gramStart"/>
      <w:r>
        <w:rPr>
          <w:rFonts w:ascii="Arial" w:hAnsi="Arial"/>
          <w:sz w:val="20"/>
          <w:szCs w:val="20"/>
        </w:rPr>
        <w:t>wine.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</w:t>
      </w:r>
      <w:proofErr w:type="gramEnd"/>
      <w:r>
        <w:rPr>
          <w:rFonts w:ascii="Arial" w:hAnsi="Arial"/>
          <w:b/>
          <w:bCs/>
          <w:color w:val="FF2600"/>
          <w:sz w:val="20"/>
          <w:szCs w:val="20"/>
          <w:u w:color="FF2600"/>
        </w:rPr>
        <w:t xml:space="preserve">1) </w:t>
      </w:r>
      <w:r>
        <w:rPr>
          <w:rFonts w:ascii="Arial" w:hAnsi="Arial"/>
          <w:sz w:val="20"/>
          <w:szCs w:val="20"/>
        </w:rPr>
        <w:t xml:space="preserve">Her husband should issue an invoice to her for the supply of </w:t>
      </w:r>
      <w:proofErr w:type="gramStart"/>
      <w:r>
        <w:rPr>
          <w:rFonts w:ascii="Arial" w:hAnsi="Arial"/>
          <w:sz w:val="20"/>
          <w:szCs w:val="20"/>
        </w:rPr>
        <w:t>beer</w:t>
      </w:r>
      <w:proofErr w:type="gramEnd"/>
      <w:r>
        <w:rPr>
          <w:rFonts w:ascii="Arial" w:hAnsi="Arial"/>
          <w:sz w:val="20"/>
          <w:szCs w:val="20"/>
        </w:rPr>
        <w:t xml:space="preserve"> and she can recover the VAT shown as input VAT. 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 xml:space="preserve">(1) </w:t>
      </w:r>
    </w:p>
    <w:p w14:paraId="77735212" w14:textId="77777777" w:rsidR="00F37C83" w:rsidRDefault="00F37C83">
      <w:pPr>
        <w:pStyle w:val="BodyA"/>
        <w:rPr>
          <w:rFonts w:ascii="Arial" w:eastAsia="Arial" w:hAnsi="Arial" w:cs="Arial"/>
          <w:b/>
          <w:bCs/>
          <w:color w:val="FF2600"/>
          <w:sz w:val="20"/>
          <w:szCs w:val="20"/>
          <w:u w:color="FF2600"/>
        </w:rPr>
      </w:pPr>
    </w:p>
    <w:p w14:paraId="1E207BFF" w14:textId="77777777" w:rsidR="00F37C83" w:rsidRDefault="00F37C83">
      <w:pPr>
        <w:pStyle w:val="BodyA"/>
        <w:rPr>
          <w:rFonts w:ascii="Arial" w:eastAsia="Arial" w:hAnsi="Arial" w:cs="Arial"/>
          <w:b/>
          <w:bCs/>
          <w:color w:val="FF2600"/>
          <w:sz w:val="20"/>
          <w:szCs w:val="20"/>
          <w:u w:color="FF2600"/>
        </w:rPr>
      </w:pPr>
    </w:p>
    <w:p w14:paraId="5F419810" w14:textId="77777777" w:rsidR="00F37C83" w:rsidRDefault="00F37C83">
      <w:pPr>
        <w:pStyle w:val="BodyA"/>
        <w:rPr>
          <w:rFonts w:ascii="Arial" w:eastAsia="Arial" w:hAnsi="Arial" w:cs="Arial"/>
          <w:b/>
          <w:bCs/>
          <w:color w:val="FF2600"/>
          <w:sz w:val="20"/>
          <w:szCs w:val="20"/>
          <w:u w:color="FF2600"/>
        </w:rPr>
      </w:pPr>
    </w:p>
    <w:p w14:paraId="72738104" w14:textId="77777777" w:rsidR="00F37C83" w:rsidRDefault="00F37C83">
      <w:pPr>
        <w:pStyle w:val="BodyA"/>
        <w:rPr>
          <w:rFonts w:ascii="Arial" w:eastAsia="Arial" w:hAnsi="Arial" w:cs="Arial"/>
          <w:b/>
          <w:bCs/>
          <w:color w:val="FF2600"/>
          <w:sz w:val="20"/>
          <w:szCs w:val="20"/>
          <w:u w:color="FF2600"/>
        </w:rPr>
      </w:pPr>
    </w:p>
    <w:p w14:paraId="5429632C" w14:textId="77777777" w:rsidR="00F37C83" w:rsidRDefault="00F37C83">
      <w:pPr>
        <w:pStyle w:val="BodyA"/>
        <w:rPr>
          <w:rFonts w:ascii="Arial" w:eastAsia="Arial" w:hAnsi="Arial" w:cs="Arial"/>
          <w:b/>
          <w:bCs/>
          <w:color w:val="FF2600"/>
          <w:sz w:val="20"/>
          <w:szCs w:val="20"/>
          <w:u w:color="FF2600"/>
        </w:rPr>
      </w:pPr>
    </w:p>
    <w:p w14:paraId="52CE7E67" w14:textId="77777777" w:rsidR="00F37C83" w:rsidRDefault="00F37C83">
      <w:pPr>
        <w:pStyle w:val="BodyA"/>
        <w:rPr>
          <w:rFonts w:ascii="Arial" w:eastAsia="Arial" w:hAnsi="Arial" w:cs="Arial"/>
          <w:b/>
          <w:bCs/>
          <w:color w:val="FF2600"/>
          <w:sz w:val="20"/>
          <w:szCs w:val="20"/>
          <w:u w:color="FF2600"/>
        </w:rPr>
      </w:pPr>
    </w:p>
    <w:p w14:paraId="56D41314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2.  </w:t>
      </w:r>
    </w:p>
    <w:p w14:paraId="20ECC20E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35DD5A1E" w14:textId="77777777" w:rsidR="00F37C83" w:rsidRDefault="00000000">
      <w:pPr>
        <w:pStyle w:val="BodyA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Potential Lost Revenue</w:t>
      </w:r>
    </w:p>
    <w:p w14:paraId="07D7123C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60E33966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£5,500 + £120,000 + £135,000 = £260,500 (paella rice is zero-rated) </w:t>
      </w:r>
      <w:r>
        <w:rPr>
          <w:rFonts w:ascii="Arial" w:hAnsi="Arial"/>
          <w:b/>
          <w:bCs/>
          <w:color w:val="FF2600"/>
          <w:sz w:val="20"/>
          <w:szCs w:val="20"/>
          <w:u w:color="FF2600"/>
          <w:lang w:val="it-IT"/>
        </w:rPr>
        <w:t>(1)</w:t>
      </w:r>
    </w:p>
    <w:p w14:paraId="081DE157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  <w:lang w:val="it-IT"/>
        </w:rPr>
      </w:pPr>
    </w:p>
    <w:p w14:paraId="7D5A6D91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PLR: (1/6th of £260,500) = £43,416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</w:p>
    <w:p w14:paraId="112A3EE7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CBBD4B3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b) Maximum penalty percentage for an unprompted disclosure of a failure to take reasonable care = 30%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</w:p>
    <w:p w14:paraId="6CDB9404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3ECA581C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Max penalty: 30% x £43,416 = £13,025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</w:p>
    <w:p w14:paraId="73A31158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51DD61BE" w14:textId="77777777" w:rsidR="00F37C83" w:rsidRDefault="00000000">
      <w:pPr>
        <w:pStyle w:val="BodyA"/>
        <w:rPr>
          <w:rFonts w:ascii="Arial" w:eastAsia="Arial" w:hAnsi="Arial" w:cs="Arial"/>
          <w:b/>
          <w:bCs/>
          <w:color w:val="FF2600"/>
          <w:sz w:val="20"/>
          <w:szCs w:val="20"/>
          <w:u w:color="FF2600"/>
        </w:rPr>
      </w:pPr>
      <w:r>
        <w:rPr>
          <w:rFonts w:ascii="Arial" w:hAnsi="Arial"/>
          <w:sz w:val="20"/>
          <w:szCs w:val="20"/>
        </w:rPr>
        <w:t xml:space="preserve">Minimum penalty percentage for an unprompted disclosure of a failure to take reasonable care = 0%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</w:p>
    <w:p w14:paraId="34FB8AC5" w14:textId="77777777" w:rsidR="00F37C83" w:rsidRDefault="00F37C83">
      <w:pPr>
        <w:pStyle w:val="BodyA"/>
        <w:rPr>
          <w:rFonts w:ascii="Arial" w:eastAsia="Arial" w:hAnsi="Arial" w:cs="Arial"/>
          <w:b/>
          <w:bCs/>
          <w:color w:val="FF2600"/>
          <w:sz w:val="20"/>
          <w:szCs w:val="20"/>
          <w:u w:color="FF2600"/>
        </w:rPr>
      </w:pPr>
    </w:p>
    <w:p w14:paraId="31076BC1" w14:textId="77777777" w:rsidR="00F37C83" w:rsidRDefault="00000000">
      <w:pPr>
        <w:pStyle w:val="BodyA"/>
        <w:rPr>
          <w:rFonts w:ascii="Arial" w:eastAsia="Arial" w:hAnsi="Arial" w:cs="Arial"/>
          <w:b/>
          <w:bCs/>
          <w:color w:val="FF2600"/>
          <w:sz w:val="20"/>
          <w:szCs w:val="20"/>
          <w:u w:color="FF2600"/>
        </w:rPr>
      </w:pPr>
      <w:r>
        <w:rPr>
          <w:rFonts w:ascii="Arial" w:hAnsi="Arial"/>
          <w:sz w:val="20"/>
          <w:szCs w:val="20"/>
        </w:rPr>
        <w:t xml:space="preserve">c) As the timing error results in VAT being declared later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(1)</w:t>
      </w:r>
      <w:r>
        <w:rPr>
          <w:rFonts w:ascii="Arial" w:hAnsi="Arial"/>
          <w:color w:val="FF0000"/>
          <w:sz w:val="20"/>
          <w:szCs w:val="20"/>
          <w:u w:color="FF0000"/>
        </w:rPr>
        <w:t xml:space="preserve"> </w:t>
      </w:r>
      <w:r>
        <w:rPr>
          <w:rFonts w:ascii="Arial" w:hAnsi="Arial"/>
          <w:sz w:val="20"/>
          <w:szCs w:val="20"/>
        </w:rPr>
        <w:t xml:space="preserve">than it should have been a penalty of 5% pa of the potential lost revenue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(1)</w:t>
      </w:r>
      <w:r>
        <w:rPr>
          <w:rFonts w:ascii="Arial" w:hAnsi="Arial"/>
          <w:color w:val="FF0000"/>
          <w:sz w:val="20"/>
          <w:szCs w:val="20"/>
          <w:u w:color="FF0000"/>
        </w:rPr>
        <w:t xml:space="preserve"> </w:t>
      </w:r>
      <w:r>
        <w:rPr>
          <w:rFonts w:ascii="Arial" w:hAnsi="Arial"/>
          <w:sz w:val="20"/>
          <w:szCs w:val="20"/>
        </w:rPr>
        <w:t>applies to the delayed tax.</w:t>
      </w:r>
    </w:p>
    <w:p w14:paraId="04BD89D5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765D6520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77FD7807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</w:t>
      </w:r>
    </w:p>
    <w:p w14:paraId="51F2AB0A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tbl>
      <w:tblPr>
        <w:tblW w:w="963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927"/>
        <w:gridCol w:w="1926"/>
        <w:gridCol w:w="1926"/>
        <w:gridCol w:w="1925"/>
        <w:gridCol w:w="1926"/>
      </w:tblGrid>
      <w:tr w:rsidR="00F37C83" w14:paraId="48D09EC7" w14:textId="77777777">
        <w:trPr>
          <w:trHeight w:val="500"/>
          <w:tblHeader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87A45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VAT return period end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8887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Date of filing and payment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6641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Late?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8A2D5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Points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B8957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VAT liability (Box 5) (£)</w:t>
            </w:r>
          </w:p>
        </w:tc>
      </w:tr>
      <w:tr w:rsidR="00F37C83" w14:paraId="26D54775" w14:textId="77777777">
        <w:tblPrEx>
          <w:shd w:val="clear" w:color="auto" w:fill="CADFFF"/>
        </w:tblPrEx>
        <w:trPr>
          <w:trHeight w:val="340"/>
        </w:trPr>
        <w:tc>
          <w:tcPr>
            <w:tcW w:w="19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81FC6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31 May 2024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79C7C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18 July 2024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B2BAB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2B2B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FE79C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2,750</w:t>
            </w:r>
          </w:p>
        </w:tc>
      </w:tr>
      <w:tr w:rsidR="00F37C83" w14:paraId="51E53F00" w14:textId="77777777">
        <w:tblPrEx>
          <w:shd w:val="clear" w:color="auto" w:fill="CADFFF"/>
        </w:tblPrEx>
        <w:trPr>
          <w:trHeight w:val="310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309AD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30 June 2024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1833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9 August 2024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83B04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CBDCE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47E7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2,000</w:t>
            </w:r>
          </w:p>
        </w:tc>
      </w:tr>
      <w:tr w:rsidR="00F37C83" w14:paraId="63A7B45B" w14:textId="77777777">
        <w:tblPrEx>
          <w:shd w:val="clear" w:color="auto" w:fill="CADFFF"/>
        </w:tblPrEx>
        <w:trPr>
          <w:trHeight w:val="310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C89A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31 July2024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A179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1 October 2024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97D85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13A3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1028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4,500</w:t>
            </w:r>
          </w:p>
        </w:tc>
      </w:tr>
      <w:tr w:rsidR="00F37C83" w14:paraId="3A52C23D" w14:textId="77777777">
        <w:tblPrEx>
          <w:shd w:val="clear" w:color="auto" w:fill="CADFFF"/>
        </w:tblPrEx>
        <w:trPr>
          <w:trHeight w:val="310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017E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31 August 2024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910F8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15 November 2024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DDE7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9984C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469FD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4,250</w:t>
            </w:r>
          </w:p>
        </w:tc>
      </w:tr>
      <w:tr w:rsidR="00F37C83" w14:paraId="0720D37B" w14:textId="77777777">
        <w:tblPrEx>
          <w:shd w:val="clear" w:color="auto" w:fill="CADFFF"/>
        </w:tblPrEx>
        <w:trPr>
          <w:trHeight w:val="310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61E6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30 September 2024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6FD2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29 October 2024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BF20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27C9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18EB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2,570</w:t>
            </w:r>
          </w:p>
        </w:tc>
      </w:tr>
      <w:tr w:rsidR="00F37C83" w14:paraId="70AB63AE" w14:textId="77777777">
        <w:tblPrEx>
          <w:shd w:val="clear" w:color="auto" w:fill="CADFFF"/>
        </w:tblPrEx>
        <w:trPr>
          <w:trHeight w:val="310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DBC93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31 October 2024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114B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10 January 2025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456F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08F57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7B22E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F37C83" w14:paraId="342AFF9A" w14:textId="77777777">
        <w:tblPrEx>
          <w:shd w:val="clear" w:color="auto" w:fill="CADFFF"/>
        </w:tblPrEx>
        <w:trPr>
          <w:trHeight w:val="310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EEC3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30 November 2024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A60E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26 January 2025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1A43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A5880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2105F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3,000</w:t>
            </w:r>
          </w:p>
        </w:tc>
      </w:tr>
      <w:tr w:rsidR="00F37C83" w14:paraId="10D83B7F" w14:textId="77777777">
        <w:tblPrEx>
          <w:shd w:val="clear" w:color="auto" w:fill="CADFFF"/>
        </w:tblPrEx>
        <w:trPr>
          <w:trHeight w:val="310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C90C8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31 December 2024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40B1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11 January 2025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D9FD7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9D745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3594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6,000</w:t>
            </w:r>
          </w:p>
        </w:tc>
      </w:tr>
      <w:tr w:rsidR="00F37C83" w14:paraId="2547B45B" w14:textId="77777777">
        <w:tblPrEx>
          <w:shd w:val="clear" w:color="auto" w:fill="CADFFF"/>
        </w:tblPrEx>
        <w:trPr>
          <w:trHeight w:val="496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2A9D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31 January 2025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9AB6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Not yet filed or paid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5EB24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AB8AB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B43E1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750</w:t>
            </w:r>
          </w:p>
        </w:tc>
      </w:tr>
      <w:tr w:rsidR="00F37C83" w14:paraId="1E00CE15" w14:textId="77777777">
        <w:tblPrEx>
          <w:shd w:val="clear" w:color="auto" w:fill="CADFFF"/>
        </w:tblPrEx>
        <w:trPr>
          <w:trHeight w:val="496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EC194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28 February 2025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2AC9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Not yet filed or paid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4546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9699E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9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800</w:t>
            </w:r>
          </w:p>
        </w:tc>
      </w:tr>
    </w:tbl>
    <w:p w14:paraId="1FEED09A" w14:textId="77777777" w:rsidR="00F37C83" w:rsidRDefault="00F37C83">
      <w:pPr>
        <w:pStyle w:val="BodyA"/>
        <w:widowControl w:val="0"/>
        <w:ind w:left="324" w:hanging="324"/>
        <w:rPr>
          <w:rFonts w:ascii="Arial" w:eastAsia="Arial" w:hAnsi="Arial" w:cs="Arial"/>
          <w:sz w:val="20"/>
          <w:szCs w:val="20"/>
        </w:rPr>
      </w:pPr>
    </w:p>
    <w:p w14:paraId="27C556AC" w14:textId="77777777" w:rsidR="00F37C83" w:rsidRDefault="00F37C83">
      <w:pPr>
        <w:pStyle w:val="BodyA"/>
        <w:widowControl w:val="0"/>
        <w:ind w:left="216" w:hanging="216"/>
        <w:rPr>
          <w:rFonts w:ascii="Arial" w:eastAsia="Arial" w:hAnsi="Arial" w:cs="Arial"/>
          <w:sz w:val="20"/>
          <w:szCs w:val="20"/>
        </w:rPr>
      </w:pPr>
    </w:p>
    <w:p w14:paraId="589ADD33" w14:textId="77777777" w:rsidR="00F37C83" w:rsidRDefault="00F37C83">
      <w:pPr>
        <w:pStyle w:val="BodyA"/>
        <w:widowControl w:val="0"/>
        <w:ind w:left="108" w:hanging="108"/>
        <w:rPr>
          <w:rFonts w:ascii="Arial" w:eastAsia="Arial" w:hAnsi="Arial" w:cs="Arial"/>
          <w:sz w:val="20"/>
          <w:szCs w:val="20"/>
        </w:rPr>
      </w:pPr>
    </w:p>
    <w:p w14:paraId="4824C9C4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465D2EAF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7FD4B82D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EAA96ED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a) </w:t>
      </w:r>
      <w:proofErr w:type="spellStart"/>
      <w:r>
        <w:rPr>
          <w:rFonts w:ascii="Arial" w:hAnsi="Arial"/>
          <w:sz w:val="20"/>
          <w:szCs w:val="20"/>
        </w:rPr>
        <w:t>Guten</w:t>
      </w:r>
      <w:proofErr w:type="spellEnd"/>
      <w:r>
        <w:rPr>
          <w:rFonts w:ascii="Arial" w:hAnsi="Arial"/>
          <w:sz w:val="20"/>
          <w:szCs w:val="20"/>
        </w:rPr>
        <w:t xml:space="preserve"> Morgen has failed to submit eight VAT returns on time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  <w:r>
        <w:rPr>
          <w:rFonts w:ascii="Arial" w:hAnsi="Arial"/>
          <w:sz w:val="20"/>
          <w:szCs w:val="20"/>
        </w:rPr>
        <w:t xml:space="preserve">. The company has, therefore, reached the maximum points allowed for monthly returns i.e. 5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  <w:r>
        <w:rPr>
          <w:rFonts w:ascii="Arial" w:hAnsi="Arial"/>
          <w:sz w:val="20"/>
          <w:szCs w:val="20"/>
        </w:rPr>
        <w:t>.</w:t>
      </w:r>
    </w:p>
    <w:p w14:paraId="116CD040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67DEC09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HMRC will levy the following penalties:</w:t>
      </w:r>
    </w:p>
    <w:p w14:paraId="77D4E55D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3D7027A8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VAT return for the month ended:</w:t>
      </w:r>
    </w:p>
    <w:p w14:paraId="12AE3013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3F770CCA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31 Oct: £200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</w:p>
    <w:p w14:paraId="55326A96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30 Nov: £200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</w:p>
    <w:p w14:paraId="0A2FE818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31 January: £200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</w:p>
    <w:p w14:paraId="6AE78DE6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28 Feb: £200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</w:p>
    <w:p w14:paraId="503B9EB3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A441378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b) </w:t>
      </w:r>
      <w:proofErr w:type="spellStart"/>
      <w:r>
        <w:rPr>
          <w:rFonts w:ascii="Arial" w:hAnsi="Arial"/>
          <w:sz w:val="20"/>
          <w:szCs w:val="20"/>
        </w:rPr>
        <w:t>Guten</w:t>
      </w:r>
      <w:proofErr w:type="spellEnd"/>
      <w:r>
        <w:rPr>
          <w:rFonts w:ascii="Arial" w:hAnsi="Arial"/>
          <w:sz w:val="20"/>
          <w:szCs w:val="20"/>
        </w:rPr>
        <w:t xml:space="preserve"> Morgen will need to meet the following two conditions:</w:t>
      </w:r>
    </w:p>
    <w:p w14:paraId="40AB9F49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30A924F" w14:textId="77777777" w:rsidR="00F37C83" w:rsidRDefault="00000000">
      <w:pPr>
        <w:pStyle w:val="BodyA"/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complete a period of compliance, submitting all returns by the deadline.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</w:p>
    <w:p w14:paraId="179B8B90" w14:textId="77777777" w:rsidR="00F37C83" w:rsidRDefault="00000000">
      <w:pPr>
        <w:pStyle w:val="BodyA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submit all outstanding returns for the previous 24 months.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</w:p>
    <w:p w14:paraId="4545C2E4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20528BC8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relation to the period of compliance, this will begin on 1 May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  <w:r>
        <w:rPr>
          <w:rFonts w:ascii="Arial" w:hAnsi="Arial"/>
          <w:sz w:val="20"/>
          <w:szCs w:val="20"/>
        </w:rPr>
        <w:t xml:space="preserve"> (the 28 Feb VAT return was due on 7 April) and last for six months.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  <w:r>
        <w:rPr>
          <w:rFonts w:ascii="Arial" w:hAnsi="Arial"/>
          <w:sz w:val="20"/>
          <w:szCs w:val="20"/>
        </w:rPr>
        <w:t xml:space="preserve"> In this time all six VAT returns must be submitted on time.</w:t>
      </w:r>
    </w:p>
    <w:p w14:paraId="19C9412A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58D5A300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6DB206D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c)</w:t>
      </w:r>
    </w:p>
    <w:p w14:paraId="6F77BEE0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tbl>
      <w:tblPr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281"/>
        <w:gridCol w:w="1256"/>
        <w:gridCol w:w="1138"/>
        <w:gridCol w:w="1229"/>
        <w:gridCol w:w="925"/>
        <w:gridCol w:w="920"/>
        <w:gridCol w:w="909"/>
        <w:gridCol w:w="1107"/>
        <w:gridCol w:w="867"/>
      </w:tblGrid>
      <w:tr w:rsidR="00F37C83" w14:paraId="6005E6CA" w14:textId="77777777">
        <w:trPr>
          <w:trHeight w:val="1460"/>
          <w:tblHeader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289F0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VAT return period end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2B20E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Date payment due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56BD8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Date of payment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7367B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VAT liability (Box 5) (£)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1CDA5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Days late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1F4A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Fixed penalty (2%) £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268A" w14:textId="77777777" w:rsidR="00F37C83" w:rsidRDefault="00000000">
            <w:pPr>
              <w:pStyle w:val="TableStyle1A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Fixed penalty (4%)</w:t>
            </w:r>
          </w:p>
          <w:p w14:paraId="438F28A4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£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6F15E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Day penalty £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A287" w14:textId="77777777" w:rsidR="00F37C83" w:rsidRDefault="00000000">
            <w:pPr>
              <w:pStyle w:val="TableStyle1A"/>
            </w:pPr>
            <w:r>
              <w:rPr>
                <w:rFonts w:ascii="Arial" w:hAnsi="Arial"/>
              </w:rPr>
              <w:t>Total £</w:t>
            </w:r>
          </w:p>
        </w:tc>
      </w:tr>
      <w:tr w:rsidR="00F37C83" w14:paraId="03BF81DB" w14:textId="77777777">
        <w:tblPrEx>
          <w:shd w:val="clear" w:color="auto" w:fill="CADFFF"/>
        </w:tblPrEx>
        <w:trPr>
          <w:trHeight w:val="530"/>
        </w:trPr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B3BD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31 May 2024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34A21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7 July 2024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A01D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18 July 2024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E675B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2,750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DA69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ACB82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FA23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20E97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6BD0D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  <w:bCs/>
                <w:color w:val="FF2600"/>
                <w:u w:color="FF2600"/>
              </w:rPr>
              <w:t>(1/2)</w:t>
            </w:r>
          </w:p>
        </w:tc>
      </w:tr>
      <w:tr w:rsidR="00F37C83" w14:paraId="0A68E6A6" w14:textId="77777777">
        <w:tblPrEx>
          <w:shd w:val="clear" w:color="auto" w:fill="CADFFF"/>
        </w:tblPrEx>
        <w:trPr>
          <w:trHeight w:val="496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51C6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30 June 2024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0101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7 August 2024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668AB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9 August 2024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A31C6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2,000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467F9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59CCA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CC95A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3E9D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FDA5C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  <w:bCs/>
                <w:color w:val="FF2600"/>
                <w:u w:color="FF2600"/>
              </w:rPr>
              <w:t>(1/2)</w:t>
            </w:r>
          </w:p>
        </w:tc>
      </w:tr>
      <w:tr w:rsidR="00F37C83" w14:paraId="6962EBCD" w14:textId="77777777">
        <w:tblPrEx>
          <w:shd w:val="clear" w:color="auto" w:fill="CADFFF"/>
        </w:tblPrEx>
        <w:trPr>
          <w:trHeight w:val="736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51F14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31 July 2024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4BFC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7 September 2024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DD6FE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1 October 2024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D9CF2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4,500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AE579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52EF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90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7DF3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0DF65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6F2F2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 xml:space="preserve">90 </w:t>
            </w:r>
            <w:r>
              <w:rPr>
                <w:rFonts w:ascii="Arial" w:hAnsi="Arial"/>
                <w:b/>
                <w:bCs/>
                <w:color w:val="FF2600"/>
                <w:u w:color="FF2600"/>
              </w:rPr>
              <w:t>(1/2)</w:t>
            </w:r>
          </w:p>
        </w:tc>
      </w:tr>
      <w:tr w:rsidR="00F37C83" w14:paraId="78AE4677" w14:textId="77777777">
        <w:tblPrEx>
          <w:shd w:val="clear" w:color="auto" w:fill="CADFFF"/>
        </w:tblPrEx>
        <w:trPr>
          <w:trHeight w:val="736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1907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31 August 2024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D732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7 October 2024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D4EBC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15 November 2024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7DA1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4,250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A6293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4A07A" w14:textId="77777777" w:rsidR="00F37C83" w:rsidRDefault="00F37C83"/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6AEB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 xml:space="preserve">170 </w:t>
            </w:r>
            <w:r>
              <w:rPr>
                <w:rFonts w:ascii="Arial" w:hAnsi="Arial"/>
                <w:b/>
                <w:bCs/>
                <w:color w:val="FF2600"/>
                <w:u w:color="FF2600"/>
              </w:rPr>
              <w:t>(1/2)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BAA49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 xml:space="preserve">4.19 </w:t>
            </w:r>
            <w:r>
              <w:rPr>
                <w:rFonts w:ascii="Arial" w:hAnsi="Arial"/>
                <w:b/>
                <w:bCs/>
                <w:color w:val="FF2600"/>
                <w:u w:color="FF2600"/>
              </w:rPr>
              <w:t>(1/2)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0A888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 xml:space="preserve">174.19 </w:t>
            </w:r>
            <w:r>
              <w:rPr>
                <w:rFonts w:ascii="Arial" w:hAnsi="Arial"/>
                <w:b/>
                <w:bCs/>
                <w:color w:val="FF2600"/>
                <w:u w:color="FF2600"/>
              </w:rPr>
              <w:t>(1/2)</w:t>
            </w:r>
          </w:p>
        </w:tc>
      </w:tr>
      <w:tr w:rsidR="00F37C83" w14:paraId="6DA2D603" w14:textId="77777777">
        <w:tblPrEx>
          <w:shd w:val="clear" w:color="auto" w:fill="CADFFF"/>
        </w:tblPrEx>
        <w:trPr>
          <w:trHeight w:val="736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233FF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30 September 2024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1A5B7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7 November 2024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F1C6C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29 October 2024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24E4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2,570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0782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2E768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47140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97060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901B2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  <w:bCs/>
                <w:color w:val="FF2600"/>
                <w:u w:color="FF2600"/>
              </w:rPr>
              <w:t>(1/2)</w:t>
            </w:r>
          </w:p>
        </w:tc>
      </w:tr>
      <w:tr w:rsidR="00F37C83" w14:paraId="27038725" w14:textId="77777777">
        <w:tblPrEx>
          <w:shd w:val="clear" w:color="auto" w:fill="CADFFF"/>
        </w:tblPrEx>
        <w:trPr>
          <w:trHeight w:val="736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34D1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31 October 2024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F5FD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7 December 2024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8D05C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10 January 2025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E5761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AE4C0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682A6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EFF89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ED74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6E4D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  <w:bCs/>
                <w:color w:val="FF2600"/>
                <w:u w:color="FF2600"/>
              </w:rPr>
              <w:t>(1/2)</w:t>
            </w:r>
          </w:p>
        </w:tc>
      </w:tr>
      <w:tr w:rsidR="00F37C83" w14:paraId="216353C2" w14:textId="77777777">
        <w:tblPrEx>
          <w:shd w:val="clear" w:color="auto" w:fill="CADFFF"/>
        </w:tblPrEx>
        <w:trPr>
          <w:trHeight w:val="736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463FE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30 November 2024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CE10A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7 January 2025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0756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26 January 2025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4BC1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3,000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F8F6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EB00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965F2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8D3FF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CABB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 xml:space="preserve">60 </w:t>
            </w:r>
            <w:r>
              <w:rPr>
                <w:rFonts w:ascii="Arial" w:hAnsi="Arial"/>
                <w:b/>
                <w:bCs/>
                <w:color w:val="FF2600"/>
                <w:u w:color="FF2600"/>
              </w:rPr>
              <w:t>(1/2)</w:t>
            </w:r>
          </w:p>
        </w:tc>
      </w:tr>
      <w:tr w:rsidR="00F37C83" w14:paraId="5776CED8" w14:textId="77777777">
        <w:tblPrEx>
          <w:shd w:val="clear" w:color="auto" w:fill="CADFFF"/>
        </w:tblPrEx>
        <w:trPr>
          <w:trHeight w:val="736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0FBA3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31 December 2024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84F7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7 February 2025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3CF2D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31 January 2025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FA3DA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6,000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A601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65CF7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3916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FD42A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B1A8F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  <w:bCs/>
                <w:color w:val="FF2600"/>
                <w:u w:color="FF2600"/>
              </w:rPr>
              <w:t>(1/2)</w:t>
            </w:r>
          </w:p>
        </w:tc>
      </w:tr>
      <w:tr w:rsidR="00F37C83" w14:paraId="2BFCEF6A" w14:textId="77777777">
        <w:tblPrEx>
          <w:shd w:val="clear" w:color="auto" w:fill="CADFFF"/>
        </w:tblPrEx>
        <w:trPr>
          <w:trHeight w:val="736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A07B8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31 January 2025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6C9C0" w14:textId="77777777" w:rsidR="00F37C83" w:rsidRDefault="00F37C83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B587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Not yet paid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A94D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750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BDBA" w14:textId="77777777" w:rsidR="00F37C83" w:rsidRDefault="00F37C83"/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3860" w14:textId="77777777" w:rsidR="00F37C83" w:rsidRDefault="00F37C83"/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7905E" w14:textId="77777777" w:rsidR="00F37C83" w:rsidRDefault="00F37C83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49A7" w14:textId="77777777" w:rsidR="00F37C83" w:rsidRDefault="00F37C83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86DE7" w14:textId="77777777" w:rsidR="00F37C83" w:rsidRDefault="00F37C83"/>
        </w:tc>
      </w:tr>
      <w:tr w:rsidR="00F37C83" w14:paraId="21E6700C" w14:textId="77777777">
        <w:tblPrEx>
          <w:shd w:val="clear" w:color="auto" w:fill="CADFFF"/>
        </w:tblPrEx>
        <w:trPr>
          <w:trHeight w:val="736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98DB3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28 February 2025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DDDD9" w14:textId="77777777" w:rsidR="00F37C83" w:rsidRDefault="00F37C83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B529" w14:textId="77777777" w:rsidR="00F37C83" w:rsidRDefault="00000000">
            <w:pPr>
              <w:pStyle w:val="TableStyle2A"/>
            </w:pPr>
            <w:r>
              <w:rPr>
                <w:rFonts w:ascii="Arial" w:hAnsi="Arial"/>
              </w:rPr>
              <w:t>Not yet paid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ABE0" w14:textId="77777777" w:rsidR="00F37C83" w:rsidRDefault="00000000">
            <w:pPr>
              <w:pStyle w:val="BodyB"/>
              <w:jc w:val="right"/>
            </w:pPr>
            <w:r>
              <w:rPr>
                <w:rFonts w:ascii="Arial" w:hAnsi="Arial"/>
                <w:sz w:val="20"/>
                <w:szCs w:val="20"/>
              </w:rPr>
              <w:t>800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CA33E" w14:textId="77777777" w:rsidR="00F37C83" w:rsidRDefault="00F37C83"/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F4688" w14:textId="77777777" w:rsidR="00F37C83" w:rsidRDefault="00F37C83"/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B46A" w14:textId="77777777" w:rsidR="00F37C83" w:rsidRDefault="00F37C83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2F44B" w14:textId="77777777" w:rsidR="00F37C83" w:rsidRDefault="00F37C83"/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2940D" w14:textId="77777777" w:rsidR="00F37C83" w:rsidRDefault="00F37C83"/>
        </w:tc>
      </w:tr>
    </w:tbl>
    <w:p w14:paraId="20652E1D" w14:textId="77777777" w:rsidR="00F37C83" w:rsidRDefault="00F37C83">
      <w:pPr>
        <w:pStyle w:val="BodyA"/>
        <w:widowControl w:val="0"/>
        <w:ind w:left="324" w:hanging="324"/>
        <w:rPr>
          <w:rFonts w:ascii="Arial" w:eastAsia="Arial" w:hAnsi="Arial" w:cs="Arial"/>
          <w:sz w:val="20"/>
          <w:szCs w:val="20"/>
        </w:rPr>
      </w:pPr>
    </w:p>
    <w:p w14:paraId="64A6D963" w14:textId="77777777" w:rsidR="00F37C83" w:rsidRDefault="00F37C83">
      <w:pPr>
        <w:pStyle w:val="BodyA"/>
        <w:widowControl w:val="0"/>
        <w:ind w:left="216" w:hanging="216"/>
        <w:rPr>
          <w:rFonts w:ascii="Arial" w:eastAsia="Arial" w:hAnsi="Arial" w:cs="Arial"/>
          <w:sz w:val="20"/>
          <w:szCs w:val="20"/>
        </w:rPr>
      </w:pPr>
    </w:p>
    <w:p w14:paraId="6FEE9669" w14:textId="77777777" w:rsidR="00F37C83" w:rsidRDefault="00F37C83">
      <w:pPr>
        <w:pStyle w:val="BodyA"/>
        <w:widowControl w:val="0"/>
        <w:ind w:left="108" w:hanging="108"/>
        <w:rPr>
          <w:rFonts w:ascii="Arial" w:eastAsia="Arial" w:hAnsi="Arial" w:cs="Arial"/>
          <w:sz w:val="20"/>
          <w:szCs w:val="20"/>
        </w:rPr>
      </w:pPr>
    </w:p>
    <w:p w14:paraId="2F0D261E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267C1D00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02714326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4E29BA7B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31E3EAEF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0FB8B309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3BB91C70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4784C90E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4C220C28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51392DDA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  </w:t>
      </w:r>
    </w:p>
    <w:p w14:paraId="19A0DD70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4B5BD1FA" w14:textId="77777777" w:rsidR="00F37C83" w:rsidRDefault="00000000">
      <w:pPr>
        <w:pStyle w:val="BodyA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a)  </w:t>
      </w:r>
    </w:p>
    <w:p w14:paraId="1C9337D1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56D11827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2E987818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Amount of recoverable input tax for the year to 31 March 2025 using the standard partial exemption method:</w:t>
      </w:r>
    </w:p>
    <w:p w14:paraId="2A440816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0EF705E4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35A9C3C3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120,000,000</w:t>
      </w:r>
      <w:r>
        <w:rPr>
          <w:rFonts w:ascii="Arial" w:hAnsi="Arial"/>
          <w:sz w:val="20"/>
          <w:szCs w:val="20"/>
        </w:rPr>
        <w:t xml:space="preserve">    x 100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  <w:r>
        <w:rPr>
          <w:rFonts w:ascii="Arial" w:hAnsi="Arial"/>
          <w:sz w:val="20"/>
          <w:szCs w:val="20"/>
        </w:rPr>
        <w:t xml:space="preserve"> = 74.77% (rounded up to 2 decimal places as residual input tax is greater 160,500,000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than £4,800,000 a year)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</w:p>
    <w:p w14:paraId="4CC7D1B4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8C4B345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D1E1F7B" w14:textId="77777777" w:rsidR="00F37C83" w:rsidRDefault="00F37C83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7AA7B1D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Costs</w:t>
      </w:r>
    </w:p>
    <w:p w14:paraId="5241E1AC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447B7108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Directly attributable to taxable income: 8,000,000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</w:p>
    <w:p w14:paraId="4EAC08D0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Directly attributable to exempt income: 1,500,000</w:t>
      </w:r>
    </w:p>
    <w:p w14:paraId="38DAE349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404E4B8D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Recoverable proportion of residual input tax: 6,000,000 x 74.77% = £4,486,200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</w:p>
    <w:p w14:paraId="16B52682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3E930B3D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The de minimis limit does not apply as exempt output tax is clearly more than £625pm.</w:t>
      </w:r>
    </w:p>
    <w:p w14:paraId="2A22FDFA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B7618FE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Total recoverable input tax: 8,000,000 + 4,486,200 = £12,486,200.</w:t>
      </w:r>
      <w:r>
        <w:rPr>
          <w:rFonts w:ascii="Arial" w:hAnsi="Arial"/>
          <w:sz w:val="20"/>
          <w:szCs w:val="20"/>
        </w:rPr>
        <w:tab/>
        <w:t xml:space="preserve">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</w:p>
    <w:p w14:paraId="1CA99274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30643F3D" w14:textId="77777777" w:rsidR="00F37C83" w:rsidRDefault="00F37C83">
      <w:pPr>
        <w:pStyle w:val="BodyA"/>
        <w:rPr>
          <w:rFonts w:ascii="Arial" w:eastAsia="Arial" w:hAnsi="Arial" w:cs="Arial"/>
          <w:i/>
          <w:iCs/>
          <w:sz w:val="20"/>
          <w:szCs w:val="20"/>
        </w:rPr>
      </w:pPr>
    </w:p>
    <w:p w14:paraId="10DACB7F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34BD93CA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b) Insurance services provided to insured parties located outside the UK are outside the scope for VAT purposes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  <w:r>
        <w:rPr>
          <w:rFonts w:ascii="Arial" w:hAnsi="Arial"/>
          <w:sz w:val="20"/>
          <w:szCs w:val="20"/>
        </w:rPr>
        <w:t>. However, directly attributable input VAT may be recovered.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As such, input VAT recovery would be greater for ALLBC Ltd than if it is supplied to UK customers only.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</w:p>
    <w:p w14:paraId="67DB7F40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6AADB667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253B8CCC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</w:t>
      </w:r>
    </w:p>
    <w:p w14:paraId="78953FDA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0BF94EB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 xml:space="preserve">i) </w:t>
      </w:r>
      <w:r>
        <w:rPr>
          <w:rFonts w:ascii="Arial" w:hAnsi="Arial"/>
          <w:b/>
          <w:bCs/>
          <w:sz w:val="20"/>
          <w:szCs w:val="20"/>
        </w:rPr>
        <w:t>Floor space: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>Taxable floor space</w:t>
      </w:r>
    </w:p>
    <w:p w14:paraId="20C0C5A1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       Taxable + exempt floor space</w:t>
      </w:r>
    </w:p>
    <w:p w14:paraId="1E6A6531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72B8C903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3</w:t>
      </w:r>
    </w:p>
    <w:p w14:paraId="36046B7B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9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</w:t>
      </w:r>
      <w:proofErr w:type="gramStart"/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)</w:t>
      </w:r>
      <w:r>
        <w:rPr>
          <w:rFonts w:ascii="Arial" w:hAnsi="Arial"/>
          <w:sz w:val="20"/>
          <w:szCs w:val="20"/>
        </w:rPr>
        <w:t xml:space="preserve">  x</w:t>
      </w:r>
      <w:proofErr w:type="gramEnd"/>
      <w:r>
        <w:rPr>
          <w:rFonts w:ascii="Arial" w:hAnsi="Arial"/>
          <w:sz w:val="20"/>
          <w:szCs w:val="20"/>
        </w:rPr>
        <w:t xml:space="preserve"> 100% = 33.33% (calculated to 2 decimal places as it is a special method)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</w:p>
    <w:p w14:paraId="629C1D08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58159A64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4FD0D4D4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Costs</w:t>
      </w:r>
    </w:p>
    <w:p w14:paraId="1981B571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201A5D29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Directly attributable to taxable income: 8,000,000 </w:t>
      </w:r>
    </w:p>
    <w:p w14:paraId="2E74AEB5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Directly attributable to exempt income: 1,500,000</w:t>
      </w:r>
    </w:p>
    <w:p w14:paraId="4D5F342A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58610400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Recoverable proportion of residual input tax: 6,000,000 x 33.3% = £1,999,800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</w:p>
    <w:p w14:paraId="1CE35E8D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59AF05F0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The de minimis limit does not apply.</w:t>
      </w:r>
    </w:p>
    <w:p w14:paraId="2A83A34D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71C9605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Total recoverable input tax: 8,000,000 + 1,998,000 = </w:t>
      </w:r>
      <w:r>
        <w:rPr>
          <w:rFonts w:ascii="Arial" w:hAnsi="Arial"/>
          <w:b/>
          <w:bCs/>
          <w:sz w:val="20"/>
          <w:szCs w:val="20"/>
        </w:rPr>
        <w:t>£9,999,800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ab/>
        <w:t xml:space="preserve">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  <w:r>
        <w:rPr>
          <w:rFonts w:ascii="Arial" w:eastAsia="Arial" w:hAnsi="Arial" w:cs="Arial"/>
          <w:sz w:val="20"/>
          <w:szCs w:val="20"/>
        </w:rPr>
        <w:br/>
      </w:r>
    </w:p>
    <w:p w14:paraId="3EB3F783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92B3130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290AB4B0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1AC28AE6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ii</w:t>
      </w:r>
      <w:proofErr w:type="gramStart"/>
      <w:r>
        <w:rPr>
          <w:rFonts w:ascii="Arial" w:hAnsi="Arial"/>
          <w:sz w:val="20"/>
          <w:szCs w:val="20"/>
        </w:rPr>
        <w:t xml:space="preserve">)  </w:t>
      </w:r>
      <w:r>
        <w:rPr>
          <w:rFonts w:ascii="Arial" w:hAnsi="Arial"/>
          <w:b/>
          <w:bCs/>
          <w:sz w:val="20"/>
          <w:szCs w:val="20"/>
        </w:rPr>
        <w:t>Staff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headcount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  <w:u w:val="single"/>
        </w:rPr>
        <w:t>Staff spent making taxable supplies</w:t>
      </w:r>
    </w:p>
    <w:p w14:paraId="34574D8E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All staff</w:t>
      </w:r>
    </w:p>
    <w:p w14:paraId="14471CAD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0723D565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lastRenderedPageBreak/>
        <w:t>65</w:t>
      </w:r>
    </w:p>
    <w:p w14:paraId="04BE2E2E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335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  <w:r>
        <w:rPr>
          <w:rFonts w:ascii="Arial" w:hAnsi="Arial"/>
          <w:sz w:val="20"/>
          <w:szCs w:val="20"/>
        </w:rPr>
        <w:t xml:space="preserve"> x 100 = 19.40% </w:t>
      </w:r>
    </w:p>
    <w:p w14:paraId="0EFE4DD1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4CFBF9C1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79A94F1B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6F4CB185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6C433F1D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Costs</w:t>
      </w:r>
    </w:p>
    <w:p w14:paraId="6AD928DA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28013400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Directly attributable to taxable income: 8,000,000 </w:t>
      </w:r>
    </w:p>
    <w:p w14:paraId="5134A0C4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Directly attributable to exempt income: 1,500,000</w:t>
      </w:r>
    </w:p>
    <w:p w14:paraId="6B0864F4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3C15D81B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Recoverable proportion of residual input tax: 6,000,000 x 19.4% = £1,164,000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(1)</w:t>
      </w:r>
    </w:p>
    <w:p w14:paraId="2D105A34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676140EC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The de minimis limit does not apply.</w:t>
      </w:r>
    </w:p>
    <w:p w14:paraId="19049B3E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60C45683" w14:textId="77777777" w:rsidR="00F37C83" w:rsidRDefault="00000000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Total recoverable input tax: 8,000,000 + 1,164,000 = £9,164,000.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</w:p>
    <w:p w14:paraId="6737DA3F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64BC89FC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3006865A" w14:textId="77777777" w:rsidR="00F37C83" w:rsidRDefault="00F37C83">
      <w:pPr>
        <w:pStyle w:val="BodyA"/>
        <w:rPr>
          <w:rFonts w:ascii="Arial" w:eastAsia="Arial" w:hAnsi="Arial" w:cs="Arial"/>
          <w:sz w:val="20"/>
          <w:szCs w:val="20"/>
        </w:rPr>
      </w:pPr>
    </w:p>
    <w:p w14:paraId="055D0390" w14:textId="77777777" w:rsidR="00F37C83" w:rsidRDefault="00000000">
      <w:pPr>
        <w:pStyle w:val="BodyA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As the cost of the building is at least £250,000, excluding VAT,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 xml:space="preserve"> (1/2)</w:t>
      </w:r>
      <w:r>
        <w:rPr>
          <w:rFonts w:ascii="Arial" w:hAnsi="Arial"/>
          <w:sz w:val="20"/>
          <w:szCs w:val="20"/>
        </w:rPr>
        <w:t xml:space="preserve"> the building will be a capital item to which the Capital Goods Scheme applies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  <w:r>
        <w:rPr>
          <w:rFonts w:ascii="Arial" w:hAnsi="Arial"/>
          <w:sz w:val="20"/>
          <w:szCs w:val="20"/>
        </w:rPr>
        <w:t xml:space="preserve">. As the building will be used for both taxable and exempt </w:t>
      </w:r>
      <w:proofErr w:type="gramStart"/>
      <w:r>
        <w:rPr>
          <w:rFonts w:ascii="Arial" w:hAnsi="Arial"/>
          <w:sz w:val="20"/>
          <w:szCs w:val="20"/>
        </w:rPr>
        <w:t>supplies</w:t>
      </w:r>
      <w:proofErr w:type="gramEnd"/>
      <w:r>
        <w:rPr>
          <w:rFonts w:ascii="Arial" w:hAnsi="Arial"/>
          <w:sz w:val="20"/>
          <w:szCs w:val="20"/>
        </w:rPr>
        <w:t xml:space="preserve"> a proportion of the £3 million VAT can be initially recovered according to the partial exemption residual recovery rate, unless otherwise agreed with HMRC.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  <w:r>
        <w:rPr>
          <w:rFonts w:ascii="Arial" w:hAnsi="Arial"/>
          <w:sz w:val="20"/>
          <w:szCs w:val="20"/>
        </w:rPr>
        <w:t xml:space="preserve"> Annual </w:t>
      </w:r>
      <w:proofErr w:type="gramStart"/>
      <w:r>
        <w:rPr>
          <w:rFonts w:ascii="Arial" w:hAnsi="Arial"/>
          <w:sz w:val="20"/>
          <w:szCs w:val="20"/>
        </w:rPr>
        <w:t>adjustments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</w:t>
      </w:r>
      <w:proofErr w:type="gramEnd"/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1/2),</w:t>
      </w:r>
      <w:r>
        <w:rPr>
          <w:rFonts w:ascii="Arial" w:hAnsi="Arial"/>
          <w:sz w:val="20"/>
          <w:szCs w:val="20"/>
        </w:rPr>
        <w:t xml:space="preserve"> to the amount of input tax claimed on the building, must be made</w:t>
      </w:r>
      <w:r>
        <w:t xml:space="preserve"> </w:t>
      </w:r>
      <w:r>
        <w:rPr>
          <w:rFonts w:ascii="Arial" w:hAnsi="Arial"/>
          <w:sz w:val="20"/>
          <w:szCs w:val="20"/>
        </w:rPr>
        <w:t xml:space="preserve">over a 10-year period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  <w:r>
        <w:rPr>
          <w:rFonts w:ascii="Arial" w:hAnsi="Arial"/>
          <w:sz w:val="20"/>
          <w:szCs w:val="20"/>
        </w:rPr>
        <w:t xml:space="preserve"> by comparing the partial exemption recovery rate for that year with that of the period of acquisition </w:t>
      </w:r>
      <w:r>
        <w:rPr>
          <w:rFonts w:ascii="Arial" w:hAnsi="Arial"/>
          <w:b/>
          <w:bCs/>
          <w:color w:val="FF2600"/>
          <w:sz w:val="20"/>
          <w:szCs w:val="20"/>
          <w:u w:color="FF2600"/>
        </w:rPr>
        <w:t>(1/2)</w:t>
      </w:r>
      <w:r>
        <w:rPr>
          <w:rFonts w:ascii="Arial" w:hAnsi="Arial"/>
          <w:sz w:val="20"/>
          <w:szCs w:val="20"/>
        </w:rPr>
        <w:t>.</w:t>
      </w:r>
    </w:p>
    <w:p w14:paraId="5C5E6F1F" w14:textId="77777777" w:rsidR="00F37C83" w:rsidRDefault="00F37C83">
      <w:pPr>
        <w:pStyle w:val="BodyA"/>
        <w:ind w:left="360"/>
        <w:rPr>
          <w:rFonts w:ascii="Arial" w:eastAsia="Arial" w:hAnsi="Arial" w:cs="Arial"/>
          <w:sz w:val="20"/>
          <w:szCs w:val="20"/>
        </w:rPr>
      </w:pPr>
    </w:p>
    <w:p w14:paraId="2DD9E0DD" w14:textId="77777777" w:rsidR="00F37C83" w:rsidRDefault="00F37C83">
      <w:pPr>
        <w:pStyle w:val="BodyA"/>
        <w:ind w:left="360"/>
        <w:rPr>
          <w:rFonts w:ascii="Arial" w:eastAsia="Arial" w:hAnsi="Arial" w:cs="Arial"/>
          <w:sz w:val="20"/>
          <w:szCs w:val="20"/>
        </w:rPr>
      </w:pPr>
    </w:p>
    <w:p w14:paraId="1A9447A4" w14:textId="77777777" w:rsidR="00F37C83" w:rsidRDefault="00000000">
      <w:pPr>
        <w:pStyle w:val="Body"/>
      </w:pPr>
      <w:r>
        <w:rPr>
          <w:rFonts w:ascii="Arial Unicode MS" w:hAnsi="Arial Unicode MS"/>
          <w:sz w:val="20"/>
          <w:szCs w:val="20"/>
        </w:rPr>
        <w:br w:type="page"/>
      </w:r>
    </w:p>
    <w:p w14:paraId="458D31C0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4.</w:t>
      </w:r>
    </w:p>
    <w:p w14:paraId="54BA5E0D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The VAT liability of the services of the architect will be standard rated for both the houses and the block of flats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mark).</w:t>
      </w:r>
      <w:r>
        <w:rPr>
          <w:rFonts w:ascii="Arial" w:hAnsi="Arial"/>
          <w:sz w:val="20"/>
          <w:szCs w:val="20"/>
        </w:rPr>
        <w:t xml:space="preserve"> The services of the builder to renovate the larger house will be standard rated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, because it is not intended to be used as a dwelling.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 The services to renovate the smaller house which was empty will be </w:t>
      </w:r>
      <w:proofErr w:type="gramStart"/>
      <w:r>
        <w:rPr>
          <w:rFonts w:ascii="Arial" w:hAnsi="Arial"/>
          <w:sz w:val="20"/>
          <w:szCs w:val="20"/>
        </w:rPr>
        <w:t>lower rated</w:t>
      </w:r>
      <w:proofErr w:type="gramEnd"/>
      <w:r>
        <w:rPr>
          <w:rFonts w:ascii="Arial" w:hAnsi="Arial"/>
          <w:sz w:val="20"/>
          <w:szCs w:val="20"/>
        </w:rPr>
        <w:t xml:space="preserve"> 5% because the house has not been lived in during the 2 years immediately before work starts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mark).</w:t>
      </w:r>
      <w:r>
        <w:rPr>
          <w:rFonts w:ascii="Arial" w:hAnsi="Arial"/>
          <w:sz w:val="20"/>
          <w:szCs w:val="20"/>
        </w:rPr>
        <w:t xml:space="preserve"> The services of the builder to construct the block of flats will be zero rated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 because the flats are designed as dwellings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. The services of the demolition contractor will be standard rated if the work takes place before Barney has planning permission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>.</w:t>
      </w:r>
    </w:p>
    <w:p w14:paraId="0CB7079F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[max 6 for the question]</w:t>
      </w:r>
    </w:p>
    <w:p w14:paraId="64AC0BA4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7478B37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Supply and installation of energy savings materials for a dwelling, including solar PV panel is zero rated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. However, where panels are purchased separately, they are standard rated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>. Where the supply and installation of the panels forms part of a larger building project, this would be a single supply,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(1 mark)</w:t>
      </w:r>
      <w:r>
        <w:rPr>
          <w:rFonts w:ascii="Arial" w:hAnsi="Arial"/>
          <w:sz w:val="20"/>
          <w:szCs w:val="20"/>
        </w:rPr>
        <w:t xml:space="preserve"> and the VAT liability would be the same as the principal supply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(1 mark), </w:t>
      </w:r>
      <w:r>
        <w:rPr>
          <w:rFonts w:ascii="Arial" w:hAnsi="Arial"/>
          <w:sz w:val="20"/>
          <w:szCs w:val="20"/>
        </w:rPr>
        <w:t xml:space="preserve">which is 5% in this case. So, Barney should evaluate whether the cost of the solar panels he buys online plus 20% VAT and fitting charge is less than the price charged by a specialist contractor who can zero rate the entire supply, or the builder who will charge 5%.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>.</w:t>
      </w:r>
    </w:p>
    <w:p w14:paraId="4EB48164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[max 4 for the question]</w:t>
      </w:r>
    </w:p>
    <w:p w14:paraId="7DD4ACF2" w14:textId="77777777" w:rsidR="00F37C83" w:rsidRDefault="00F37C83">
      <w:pPr>
        <w:pStyle w:val="NormalWeb"/>
        <w:rPr>
          <w:rFonts w:ascii="Arial" w:eastAsia="Arial" w:hAnsi="Arial" w:cs="Arial"/>
          <w:sz w:val="20"/>
          <w:szCs w:val="20"/>
        </w:rPr>
      </w:pPr>
    </w:p>
    <w:p w14:paraId="62FBB506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3) Barney will not be able to reclaim any input tax on the input VAT on the costs of renovating the house that he will occupy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. </w:t>
      </w:r>
    </w:p>
    <w:p w14:paraId="6D5CA3C8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As he is VAT registered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</w:t>
      </w:r>
      <w:r>
        <w:rPr>
          <w:rFonts w:ascii="Arial" w:hAnsi="Arial"/>
          <w:sz w:val="20"/>
          <w:szCs w:val="20"/>
        </w:rPr>
        <w:t xml:space="preserve">and the liability of holiday </w:t>
      </w:r>
      <w:proofErr w:type="gramStart"/>
      <w:r>
        <w:rPr>
          <w:rFonts w:ascii="Arial" w:hAnsi="Arial"/>
          <w:sz w:val="20"/>
          <w:szCs w:val="20"/>
        </w:rPr>
        <w:t>lets</w:t>
      </w:r>
      <w:proofErr w:type="gramEnd"/>
      <w:r>
        <w:rPr>
          <w:rFonts w:ascii="Arial" w:hAnsi="Arial"/>
          <w:sz w:val="20"/>
          <w:szCs w:val="20"/>
        </w:rPr>
        <w:t xml:space="preserve"> is standard rated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(1 mark)</w:t>
      </w:r>
      <w:r>
        <w:rPr>
          <w:rFonts w:ascii="Arial" w:hAnsi="Arial"/>
          <w:sz w:val="20"/>
          <w:szCs w:val="20"/>
        </w:rPr>
        <w:t xml:space="preserve">, he will be able to recover the input VAT on the cost of renovating the house to be used as a holiday let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mark).</w:t>
      </w:r>
      <w:r>
        <w:rPr>
          <w:rFonts w:ascii="Arial" w:hAnsi="Arial"/>
          <w:sz w:val="20"/>
          <w:szCs w:val="20"/>
        </w:rPr>
        <w:t xml:space="preserve"> </w:t>
      </w:r>
    </w:p>
    <w:p w14:paraId="1604327C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If Barney decides to let out the </w:t>
      </w:r>
      <w:proofErr w:type="gramStart"/>
      <w:r>
        <w:rPr>
          <w:rFonts w:ascii="Arial" w:hAnsi="Arial"/>
          <w:sz w:val="20"/>
          <w:szCs w:val="20"/>
        </w:rPr>
        <w:t>flats to</w:t>
      </w:r>
      <w:proofErr w:type="gramEnd"/>
      <w:r>
        <w:rPr>
          <w:rFonts w:ascii="Arial" w:hAnsi="Arial"/>
          <w:sz w:val="20"/>
          <w:szCs w:val="20"/>
        </w:rPr>
        <w:t xml:space="preserve"> directly to tenants himself, this will be an exempt supply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, and he will not be able to recover any of the input VAT on the costs of constructing the flats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>. If he grants a long lease to a</w:t>
      </w:r>
      <w:r>
        <w:t xml:space="preserve"> </w:t>
      </w:r>
      <w:r>
        <w:rPr>
          <w:rFonts w:ascii="Arial" w:hAnsi="Arial"/>
          <w:sz w:val="20"/>
          <w:szCs w:val="20"/>
        </w:rPr>
        <w:t xml:space="preserve">housing association, this would be a zero rated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(1 mark) </w:t>
      </w:r>
      <w:r>
        <w:rPr>
          <w:rFonts w:ascii="Arial" w:hAnsi="Arial"/>
          <w:sz w:val="20"/>
          <w:szCs w:val="20"/>
        </w:rPr>
        <w:t xml:space="preserve">supply being a grant of first major interest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, and he will be able to recover all the input VAT on the costs of constructing the flats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. He will be able to make a partial recovery of input tax on any costs which </w:t>
      </w:r>
      <w:proofErr w:type="gramStart"/>
      <w:r>
        <w:rPr>
          <w:rFonts w:ascii="Arial" w:hAnsi="Arial"/>
          <w:sz w:val="20"/>
          <w:szCs w:val="20"/>
        </w:rPr>
        <w:t>relate</w:t>
      </w:r>
      <w:proofErr w:type="gramEnd"/>
      <w:r>
        <w:rPr>
          <w:rFonts w:ascii="Arial" w:hAnsi="Arial"/>
          <w:sz w:val="20"/>
          <w:szCs w:val="20"/>
        </w:rPr>
        <w:t xml:space="preserve"> the </w:t>
      </w:r>
      <w:proofErr w:type="gramStart"/>
      <w:r>
        <w:rPr>
          <w:rFonts w:ascii="Arial" w:hAnsi="Arial"/>
          <w:sz w:val="20"/>
          <w:szCs w:val="20"/>
        </w:rPr>
        <w:t>site as a whole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>.</w:t>
      </w:r>
    </w:p>
    <w:p w14:paraId="3A117838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[max 7 for the question]</w:t>
      </w:r>
    </w:p>
    <w:p w14:paraId="4B3DC686" w14:textId="77777777" w:rsidR="00F37C83" w:rsidRDefault="00000000">
      <w:pPr>
        <w:pStyle w:val="NormalWeb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4) Under the professional practice guidelines, a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member must not engage in or be party (directly or indirectly) to any illegal activity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The offer made by the demolition contractor indicates that they will gain an advantage through receiving payment in cash, most likely through illegal evasion of VAT and income and/or corporation taxes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b/>
          <w:bCs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Making payment in cash would facilitate this avoidance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b/>
          <w:bCs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You should advise Barney to make payment to the contractor through normal channels such as payment by bank transfer or credit card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b/>
          <w:bCs/>
          <w:sz w:val="20"/>
          <w:szCs w:val="20"/>
        </w:rPr>
        <w:t xml:space="preserve">. [max 3 for the question] </w:t>
      </w:r>
    </w:p>
    <w:p w14:paraId="1BF5D5C7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5.</w:t>
      </w:r>
    </w:p>
    <w:p w14:paraId="4116F7A1" w14:textId="77777777" w:rsidR="00F37C83" w:rsidRDefault="00000000">
      <w:pPr>
        <w:pStyle w:val="NoSpacing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From: </w:t>
      </w:r>
      <w:r>
        <w:rPr>
          <w:rFonts w:ascii="Arial" w:hAnsi="Arial"/>
          <w:sz w:val="20"/>
          <w:szCs w:val="20"/>
        </w:rPr>
        <w:tab/>
        <w:t xml:space="preserve">aaranadviser@attcandidates.uk </w:t>
      </w:r>
    </w:p>
    <w:p w14:paraId="2926A824" w14:textId="77777777" w:rsidR="00F37C83" w:rsidRDefault="00000000">
      <w:pPr>
        <w:pStyle w:val="NoSpacing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To: </w:t>
      </w:r>
      <w:r>
        <w:rPr>
          <w:rFonts w:ascii="Arial" w:hAnsi="Arial"/>
          <w:sz w:val="20"/>
          <w:szCs w:val="20"/>
        </w:rPr>
        <w:tab/>
        <w:t>dsingh@lyongroup.uk</w:t>
      </w:r>
    </w:p>
    <w:p w14:paraId="4B0D3FF3" w14:textId="77777777" w:rsidR="00F37C83" w:rsidRDefault="00000000">
      <w:pPr>
        <w:pStyle w:val="NoSpacing"/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Subject:</w:t>
      </w:r>
      <w:r>
        <w:rPr>
          <w:rFonts w:ascii="Arial" w:hAnsi="Arial"/>
          <w:sz w:val="20"/>
          <w:szCs w:val="20"/>
        </w:rPr>
        <w:tab/>
        <w:t>Re: VAT deregistration and VAT grouping</w:t>
      </w:r>
    </w:p>
    <w:p w14:paraId="565B2312" w14:textId="77777777" w:rsidR="00F37C83" w:rsidRDefault="00F37C83">
      <w:pPr>
        <w:pStyle w:val="NoSpacing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14:paraId="015D428F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Hi Davina</w:t>
      </w:r>
    </w:p>
    <w:p w14:paraId="71CF1354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Thank you for your email. I have dealt with each of your questions in turn below. Do get in touch if you have any questions </w:t>
      </w:r>
      <w:proofErr w:type="gramStart"/>
      <w:r>
        <w:rPr>
          <w:rFonts w:ascii="Arial" w:hAnsi="Arial"/>
          <w:sz w:val="20"/>
          <w:szCs w:val="20"/>
        </w:rPr>
        <w:t>on</w:t>
      </w:r>
      <w:proofErr w:type="gramEnd"/>
      <w:r>
        <w:rPr>
          <w:rFonts w:ascii="Arial" w:hAnsi="Arial"/>
          <w:sz w:val="20"/>
          <w:szCs w:val="20"/>
        </w:rPr>
        <w:t xml:space="preserve"> this.</w:t>
      </w:r>
    </w:p>
    <w:p w14:paraId="3025843D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Best wishes</w:t>
      </w:r>
    </w:p>
    <w:p w14:paraId="2A4EEDCE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Aaran</w:t>
      </w:r>
    </w:p>
    <w:p w14:paraId="3105C2EA" w14:textId="77777777" w:rsidR="00F37C83" w:rsidRDefault="00000000">
      <w:pPr>
        <w:pStyle w:val="NormalWeb"/>
        <w:rPr>
          <w:rFonts w:ascii="Arial" w:eastAsia="Arial" w:hAnsi="Arial" w:cs="Arial"/>
          <w:b/>
          <w:bCs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 xml:space="preserve">1) Lyon Heat can deregister if HMRC agree that its taxable turnover in the next 12 months will not exceed the VAT registration cancellation limit of £88,000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(½ mark)</w:t>
      </w:r>
      <w:r>
        <w:rPr>
          <w:rFonts w:ascii="Arial" w:hAnsi="Arial"/>
          <w:sz w:val="20"/>
          <w:szCs w:val="20"/>
        </w:rPr>
        <w:t xml:space="preserve">. From the information given, the sales for the year to 30 Jun 2026 are expected to be £85,500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, and so Lyon Heat can notify HMRC from 1 July 2025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(½ mark)</w:t>
      </w: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32"/>
        <w:gridCol w:w="1168"/>
        <w:gridCol w:w="1169"/>
        <w:gridCol w:w="1168"/>
        <w:gridCol w:w="1173"/>
        <w:gridCol w:w="1173"/>
        <w:gridCol w:w="1173"/>
        <w:gridCol w:w="1176"/>
      </w:tblGrid>
      <w:tr w:rsidR="00F37C83" w14:paraId="437F14A4" w14:textId="77777777">
        <w:trPr>
          <w:trHeight w:val="44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364FF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Quarter end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66A40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30-Jun-25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6C409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30-Sep-25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B5C3F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31-Dec-25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EA199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31-Mar-26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A33B6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30-Jun-26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EB1BE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30-Sep-26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5C40E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31-Dec-26</w:t>
            </w:r>
          </w:p>
        </w:tc>
      </w:tr>
      <w:tr w:rsidR="00F37C83" w14:paraId="12D5EA8E" w14:textId="77777777">
        <w:trPr>
          <w:trHeight w:val="44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7C352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lastRenderedPageBreak/>
              <w:t>Sales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D28A2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27,000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CB4D5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24,000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20B06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22,500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DAF22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21,000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48FE7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18,000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187FC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20,000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A73B5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19,000 </w:t>
            </w:r>
          </w:p>
        </w:tc>
      </w:tr>
      <w:tr w:rsidR="00F37C83" w14:paraId="648BCEEC" w14:textId="77777777">
        <w:trPr>
          <w:trHeight w:val="66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4108B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Cumulative sales for 12m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4B7EDC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4E9A02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7721A2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5214B3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94,500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F0F07D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85,500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46E6F8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81,500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177FBA" w14:textId="77777777" w:rsidR="00F37C83" w:rsidRDefault="00000000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78,000 </w:t>
            </w:r>
          </w:p>
        </w:tc>
      </w:tr>
    </w:tbl>
    <w:p w14:paraId="628E1118" w14:textId="77777777" w:rsidR="00F37C83" w:rsidRDefault="00F37C83">
      <w:pPr>
        <w:pStyle w:val="NormalWeb"/>
        <w:widowControl w:val="0"/>
        <w:jc w:val="center"/>
        <w:rPr>
          <w:rFonts w:ascii="Arial" w:eastAsia="Arial" w:hAnsi="Arial" w:cs="Arial"/>
          <w:b/>
          <w:bCs/>
          <w:color w:val="FF0000"/>
          <w:sz w:val="20"/>
          <w:szCs w:val="20"/>
          <w:u w:color="FF0000"/>
        </w:rPr>
      </w:pPr>
    </w:p>
    <w:p w14:paraId="7F32ABFE" w14:textId="77777777" w:rsidR="00F37C83" w:rsidRDefault="00F37C83">
      <w:pPr>
        <w:pStyle w:val="NormalWeb"/>
        <w:rPr>
          <w:rFonts w:ascii="Arial" w:eastAsia="Arial" w:hAnsi="Arial" w:cs="Arial"/>
          <w:sz w:val="20"/>
          <w:szCs w:val="20"/>
        </w:rPr>
      </w:pPr>
    </w:p>
    <w:p w14:paraId="55FD2D27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The approximate deregistration VAT charge for Lyon Heat would be £3,300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</w:p>
    <w:tbl>
      <w:tblPr>
        <w:tblW w:w="69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320"/>
        <w:gridCol w:w="1140"/>
        <w:gridCol w:w="1140"/>
        <w:gridCol w:w="1206"/>
        <w:gridCol w:w="1140"/>
      </w:tblGrid>
      <w:tr w:rsidR="00F37C83" w14:paraId="499726C7" w14:textId="77777777">
        <w:trPr>
          <w:trHeight w:val="705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A1100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B130E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Original Cost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6C2D9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Cost of identical goods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DD29B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VAT on de-registration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53AA2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</w:tr>
      <w:tr w:rsidR="00F37C83" w14:paraId="69F66FA8" w14:textId="77777777">
        <w:trPr>
          <w:trHeight w:val="22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78200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Stoves (stock)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30E73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9,000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DFA16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9,000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0138E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 1,800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B0833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  <w:u w:color="FF0000"/>
                <w:lang w:val="en-US"/>
              </w:rPr>
              <w:t>(½ mark)</w:t>
            </w:r>
          </w:p>
        </w:tc>
      </w:tr>
      <w:tr w:rsidR="00F37C83" w14:paraId="3558BD7C" w14:textId="77777777">
        <w:trPr>
          <w:trHeight w:val="22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665DC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Van for deliveries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E7CFF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28,000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DEE78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7,500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25566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 1,500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301CB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  <w:u w:color="FF0000"/>
                <w:lang w:val="en-US"/>
              </w:rPr>
              <w:t>(½ mark)</w:t>
            </w:r>
          </w:p>
        </w:tc>
      </w:tr>
      <w:tr w:rsidR="00F37C83" w14:paraId="1068C629" w14:textId="77777777">
        <w:trPr>
          <w:trHeight w:val="22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17E3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Car used by sales rep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33124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31,000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0E51B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17,000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20B08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E2407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  <w:u w:color="FF0000"/>
                <w:lang w:val="en-US"/>
              </w:rPr>
              <w:t>(½ mark)</w:t>
            </w:r>
          </w:p>
        </w:tc>
      </w:tr>
      <w:tr w:rsidR="00F37C83" w14:paraId="22EDF029" w14:textId="77777777">
        <w:trPr>
          <w:trHeight w:val="695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6CD6A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Roller banners (bought from </w:t>
            </w:r>
            <w:proofErr w:type="gramStart"/>
            <w:r>
              <w:rPr>
                <w:rFonts w:ascii="Arial" w:hAnsi="Arial"/>
                <w:sz w:val="20"/>
                <w:szCs w:val="20"/>
                <w:lang w:val="en-US"/>
              </w:rPr>
              <w:t>unregistered</w:t>
            </w:r>
            <w:proofErr w:type="gram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business)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33007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5,000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65230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1,000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BC684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B8FF2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  <w:u w:color="FF0000"/>
                <w:lang w:val="en-US"/>
              </w:rPr>
              <w:t>(½ mark)</w:t>
            </w:r>
          </w:p>
        </w:tc>
      </w:tr>
      <w:tr w:rsidR="00F37C83" w14:paraId="5EB1F7E7" w14:textId="77777777">
        <w:trPr>
          <w:trHeight w:val="22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3260B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742F8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10F2B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FADC0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 3,300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8360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</w:tr>
    </w:tbl>
    <w:p w14:paraId="6C8046AF" w14:textId="77777777" w:rsidR="00F37C83" w:rsidRDefault="00F37C83">
      <w:pPr>
        <w:pStyle w:val="NormalWeb"/>
        <w:widowControl w:val="0"/>
        <w:rPr>
          <w:rFonts w:ascii="Arial" w:eastAsia="Arial" w:hAnsi="Arial" w:cs="Arial"/>
          <w:sz w:val="20"/>
          <w:szCs w:val="20"/>
        </w:rPr>
      </w:pPr>
    </w:p>
    <w:p w14:paraId="1024ABC0" w14:textId="77777777" w:rsidR="00F37C83" w:rsidRDefault="00F37C83">
      <w:pPr>
        <w:pStyle w:val="NormalWeb"/>
        <w:rPr>
          <w:rFonts w:ascii="Arial" w:eastAsia="Arial" w:hAnsi="Arial" w:cs="Arial"/>
          <w:sz w:val="20"/>
          <w:szCs w:val="20"/>
        </w:rPr>
      </w:pPr>
    </w:p>
    <w:p w14:paraId="69DDA81C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3) Lyon Group Holdings Ltd, Lyon Heat Ltd, Lyon in the Sun Ltd, Lyon Get and Protect Ltd are all under common control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</w:t>
      </w:r>
      <w:r>
        <w:rPr>
          <w:rFonts w:ascii="Arial" w:hAnsi="Arial"/>
          <w:sz w:val="20"/>
          <w:szCs w:val="20"/>
        </w:rPr>
        <w:t xml:space="preserve">and so are eligible to be part of a VAT group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. Nylon Jersey is not resident in the UK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(½ mark)</w:t>
      </w:r>
      <w:r>
        <w:rPr>
          <w:rFonts w:ascii="Arial" w:hAnsi="Arial"/>
          <w:sz w:val="20"/>
          <w:szCs w:val="20"/>
        </w:rPr>
        <w:t xml:space="preserve">, and Lyon in the Shade is not under common control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(½ mark)</w:t>
      </w:r>
      <w:r>
        <w:rPr>
          <w:rFonts w:ascii="Arial" w:hAnsi="Arial"/>
          <w:sz w:val="20"/>
          <w:szCs w:val="20"/>
        </w:rPr>
        <w:t>, and so they are not eligible to be part of a VAT group.</w:t>
      </w:r>
    </w:p>
    <w:p w14:paraId="77871F52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4)</w:t>
      </w:r>
      <w:r>
        <w:rPr>
          <w:rFonts w:ascii="Arial" w:hAnsi="Arial"/>
          <w:sz w:val="20"/>
          <w:szCs w:val="20"/>
        </w:rPr>
        <w:tab/>
        <w:t xml:space="preserve">Tyger Group Ltd is eligible to join the VAT group as it is also under the common control of Elizabeth.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eastAsia="Arial" w:hAnsi="Arial" w:cs="Arial"/>
          <w:sz w:val="20"/>
          <w:szCs w:val="20"/>
        </w:rPr>
        <w:tab/>
      </w:r>
    </w:p>
    <w:p w14:paraId="15C9953D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5)</w:t>
      </w:r>
      <w:r>
        <w:rPr>
          <w:rFonts w:ascii="Arial" w:hAnsi="Arial"/>
          <w:sz w:val="20"/>
          <w:szCs w:val="20"/>
        </w:rPr>
        <w:tab/>
        <w:t xml:space="preserve">The advantages of having a VAT group include submission of one group return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(½ mark) </w:t>
      </w:r>
      <w:r>
        <w:rPr>
          <w:rFonts w:ascii="Arial" w:hAnsi="Arial"/>
          <w:sz w:val="20"/>
          <w:szCs w:val="20"/>
        </w:rPr>
        <w:t xml:space="preserve">and transactions between entities in the group are outside the scope of VAT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(½ mark)</w:t>
      </w:r>
      <w:r>
        <w:rPr>
          <w:rFonts w:ascii="Arial" w:hAnsi="Arial"/>
          <w:sz w:val="20"/>
          <w:szCs w:val="20"/>
        </w:rPr>
        <w:t xml:space="preserve">. Disadvantages include HMRC will issue a new group VAT number to be used by all entities in the group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(½ mark) </w:t>
      </w:r>
      <w:r>
        <w:rPr>
          <w:rFonts w:ascii="Arial" w:hAnsi="Arial"/>
          <w:sz w:val="20"/>
          <w:szCs w:val="20"/>
        </w:rPr>
        <w:t xml:space="preserve">and so the businesses will have to advise customers and suppliers and update its website, accounting system and stationery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(½ mark)</w:t>
      </w:r>
      <w:r>
        <w:rPr>
          <w:rFonts w:ascii="Arial" w:hAnsi="Arial"/>
          <w:sz w:val="20"/>
          <w:szCs w:val="20"/>
        </w:rPr>
        <w:t xml:space="preserve">. The group will need to agree a new Partial Exemption Method with HMRC if they do not use the standard method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(½ mark)</w:t>
      </w:r>
      <w:r>
        <w:rPr>
          <w:rFonts w:ascii="Arial" w:hAnsi="Arial"/>
          <w:sz w:val="20"/>
          <w:szCs w:val="20"/>
        </w:rPr>
        <w:t xml:space="preserve">. And finally, all companies in the VAT group have joint and several liability for the group’s VAT liabilities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(½ mark)</w:t>
      </w:r>
      <w:r>
        <w:rPr>
          <w:rFonts w:ascii="Arial" w:hAnsi="Arial"/>
          <w:sz w:val="20"/>
          <w:szCs w:val="20"/>
        </w:rPr>
        <w:t xml:space="preserve">. The group may be partially exempt and so may not be able to recover all its input VAT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. </w:t>
      </w:r>
    </w:p>
    <w:p w14:paraId="716EEFCB" w14:textId="77777777" w:rsidR="00F37C83" w:rsidRDefault="00F37C83">
      <w:pPr>
        <w:pStyle w:val="NormalWeb"/>
        <w:rPr>
          <w:rFonts w:ascii="Arial" w:eastAsia="Arial" w:hAnsi="Arial" w:cs="Arial"/>
          <w:b/>
          <w:bCs/>
          <w:color w:val="FF0000"/>
          <w:sz w:val="20"/>
          <w:szCs w:val="20"/>
          <w:u w:color="FF0000"/>
        </w:rPr>
      </w:pPr>
    </w:p>
    <w:p w14:paraId="47F22626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6)</w:t>
      </w:r>
      <w:r>
        <w:rPr>
          <w:rFonts w:ascii="Arial" w:hAnsi="Arial"/>
          <w:sz w:val="20"/>
          <w:szCs w:val="20"/>
        </w:rPr>
        <w:tab/>
        <w:t xml:space="preserve">The supplies of management services to companies in the VAT group will be outside the scope of VAT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. The supplies to the company or companies outside the VAT group will be standard rated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(½ mark) </w:t>
      </w:r>
      <w:r>
        <w:rPr>
          <w:rFonts w:ascii="Arial" w:hAnsi="Arial"/>
          <w:sz w:val="20"/>
          <w:szCs w:val="20"/>
        </w:rPr>
        <w:t xml:space="preserve">or outside the scope of VAT where the company is based overseas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(½ mark)</w:t>
      </w:r>
      <w:r>
        <w:rPr>
          <w:rFonts w:ascii="Arial" w:hAnsi="Arial"/>
          <w:sz w:val="20"/>
          <w:szCs w:val="20"/>
        </w:rPr>
        <w:t xml:space="preserve">. </w:t>
      </w:r>
    </w:p>
    <w:p w14:paraId="2FAE4CC2" w14:textId="77777777" w:rsidR="00F37C83" w:rsidRDefault="00000000">
      <w:pPr>
        <w:pStyle w:val="Body"/>
      </w:pPr>
      <w:r>
        <w:rPr>
          <w:rFonts w:ascii="Arial Unicode MS" w:hAnsi="Arial Unicode MS"/>
          <w:sz w:val="20"/>
          <w:szCs w:val="20"/>
        </w:rPr>
        <w:br w:type="page"/>
      </w:r>
    </w:p>
    <w:p w14:paraId="4CC376DB" w14:textId="77777777" w:rsidR="00F37C83" w:rsidRDefault="0000000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6.</w:t>
      </w:r>
    </w:p>
    <w:p w14:paraId="01B39B3C" w14:textId="631E13F9" w:rsidR="00F37C83" w:rsidRDefault="00000000">
      <w:pPr>
        <w:pStyle w:val="Body"/>
        <w:spacing w:after="160" w:line="27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1) The invoices from </w:t>
      </w:r>
      <w:proofErr w:type="spellStart"/>
      <w:r>
        <w:rPr>
          <w:rFonts w:ascii="Arial" w:hAnsi="Arial"/>
          <w:sz w:val="20"/>
          <w:szCs w:val="20"/>
          <w:lang w:val="en-US"/>
        </w:rPr>
        <w:t>Mr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Forest 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</w:t>
      </w:r>
      <w:r>
        <w:rPr>
          <w:rFonts w:ascii="Arial" w:hAnsi="Arial"/>
          <w:b/>
          <w:bCs/>
          <w:color w:val="FF0000"/>
          <w:sz w:val="20"/>
          <w:szCs w:val="20"/>
          <w:u w:color="FF0000"/>
          <w:lang w:val="en-US"/>
        </w:rPr>
        <w:t>½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mark)</w:t>
      </w:r>
      <w:r>
        <w:rPr>
          <w:rFonts w:ascii="Arial" w:hAnsi="Arial"/>
          <w:sz w:val="20"/>
          <w:szCs w:val="20"/>
          <w:lang w:val="es-ES_tradnl"/>
        </w:rPr>
        <w:t xml:space="preserve">, </w:t>
      </w:r>
      <w:proofErr w:type="spellStart"/>
      <w:r>
        <w:rPr>
          <w:rFonts w:ascii="Arial" w:hAnsi="Arial"/>
          <w:sz w:val="20"/>
          <w:szCs w:val="20"/>
          <w:lang w:val="es-ES_tradnl"/>
        </w:rPr>
        <w:t>Dendros</w:t>
      </w:r>
      <w:proofErr w:type="spellEnd"/>
      <w:r>
        <w:rPr>
          <w:rFonts w:ascii="Arial" w:hAnsi="Arial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s-ES_tradnl"/>
        </w:rPr>
        <w:t>Ltd</w:t>
      </w:r>
      <w:proofErr w:type="spellEnd"/>
      <w:r>
        <w:rPr>
          <w:rFonts w:ascii="Arial" w:hAnsi="Arial"/>
          <w:sz w:val="20"/>
          <w:szCs w:val="20"/>
          <w:lang w:val="en-US"/>
        </w:rPr>
        <w:t> 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</w:t>
      </w:r>
      <w:r>
        <w:rPr>
          <w:rFonts w:ascii="Arial" w:hAnsi="Arial"/>
          <w:b/>
          <w:bCs/>
          <w:color w:val="FF0000"/>
          <w:sz w:val="20"/>
          <w:szCs w:val="20"/>
          <w:u w:color="FF0000"/>
          <w:lang w:val="en-US"/>
        </w:rPr>
        <w:t>½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mark)</w:t>
      </w:r>
      <w:r>
        <w:rPr>
          <w:rFonts w:ascii="Arial" w:hAnsi="Arial"/>
          <w:sz w:val="20"/>
          <w:szCs w:val="20"/>
          <w:lang w:val="en-US"/>
        </w:rPr>
        <w:t xml:space="preserve"> are </w:t>
      </w:r>
      <w:r w:rsidR="0092458D">
        <w:rPr>
          <w:rFonts w:ascii="Arial" w:hAnsi="Arial"/>
          <w:sz w:val="20"/>
          <w:szCs w:val="20"/>
          <w:lang w:val="en-US"/>
        </w:rPr>
        <w:t>at least</w:t>
      </w:r>
      <w:r>
        <w:rPr>
          <w:rFonts w:ascii="Arial" w:hAnsi="Arial"/>
          <w:sz w:val="20"/>
          <w:szCs w:val="20"/>
          <w:lang w:val="en-US"/>
        </w:rPr>
        <w:t xml:space="preserve"> 6 months overdue and so are eligible for bad debt relief. The time of supply and tax point of Mrs Samuel’s invoice is 15 October 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(1 mark), </w:t>
      </w:r>
      <w:r>
        <w:rPr>
          <w:rFonts w:ascii="Arial" w:hAnsi="Arial"/>
          <w:sz w:val="20"/>
          <w:szCs w:val="20"/>
          <w:lang w:val="en-US"/>
        </w:rPr>
        <w:t xml:space="preserve">but eligibility for bad debt relief is calculated from the later of the date of supply and the date the payment is due </w:t>
      </w:r>
      <w:proofErr w:type="spellStart"/>
      <w:r>
        <w:rPr>
          <w:rFonts w:ascii="Arial" w:hAnsi="Arial"/>
          <w:sz w:val="20"/>
          <w:szCs w:val="20"/>
          <w:lang w:val="en-US"/>
        </w:rPr>
        <w:t>ie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six months after 4 November 2024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  <w:lang w:val="en-US"/>
        </w:rPr>
        <w:t>”</w:t>
      </w:r>
    </w:p>
    <w:p w14:paraId="625700F2" w14:textId="77777777" w:rsidR="00F37C83" w:rsidRDefault="00F37C83">
      <w:pPr>
        <w:pStyle w:val="NormalWeb"/>
        <w:rPr>
          <w:rFonts w:ascii="Arial" w:eastAsia="Arial" w:hAnsi="Arial" w:cs="Arial"/>
          <w:sz w:val="20"/>
          <w:szCs w:val="20"/>
        </w:rPr>
      </w:pPr>
    </w:p>
    <w:p w14:paraId="3ECC2DF1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Max can claim bad debt relief of £260.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(2 marks) </w:t>
      </w: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569"/>
        <w:gridCol w:w="1180"/>
        <w:gridCol w:w="1228"/>
        <w:gridCol w:w="895"/>
        <w:gridCol w:w="1228"/>
        <w:gridCol w:w="1282"/>
        <w:gridCol w:w="718"/>
        <w:gridCol w:w="714"/>
        <w:gridCol w:w="808"/>
      </w:tblGrid>
      <w:tr w:rsidR="00F37C83" w14:paraId="141B015A" w14:textId="77777777">
        <w:trPr>
          <w:trHeight w:val="663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41DB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Customer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A3716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If goods date of sale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0409A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Date of invoice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B2637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Gross invoice value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5F6C1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Tax Point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1DBC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Due date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9840C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Days late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B9686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VAT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A8E8A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Bad debt relief</w:t>
            </w:r>
          </w:p>
        </w:tc>
      </w:tr>
      <w:tr w:rsidR="00F37C83" w14:paraId="707ECD9D" w14:textId="77777777">
        <w:trPr>
          <w:trHeight w:val="223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0F9C87" w14:textId="77777777" w:rsidR="00F37C83" w:rsidRDefault="00000000">
            <w:pPr>
              <w:pStyle w:val="Body"/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J Forest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4E825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AAC14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15-Oct-24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2876E6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£600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662427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15-Oct-24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85DAC4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15-Oct-24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64893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199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BB1228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£100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471CE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£100</w:t>
            </w:r>
          </w:p>
        </w:tc>
      </w:tr>
      <w:tr w:rsidR="00F37C83" w14:paraId="6A478AB8" w14:textId="77777777">
        <w:trPr>
          <w:trHeight w:val="223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A301D0" w14:textId="77777777" w:rsidR="00F37C83" w:rsidRDefault="00000000">
            <w:pPr>
              <w:pStyle w:val="Body"/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Dendros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Ltd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89531E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67578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30-Oct-24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15790C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£960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D1B652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30-Oct-24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C5676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30-Oct-24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9DAB35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184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BDEEE3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£160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82641E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£160</w:t>
            </w:r>
          </w:p>
        </w:tc>
      </w:tr>
      <w:tr w:rsidR="00F37C83" w14:paraId="2328B292" w14:textId="77777777">
        <w:trPr>
          <w:trHeight w:val="223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A19B0C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Mrs A Samuel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5EBE9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15-Oct-24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F8073C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04-Nov-24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3A6E7A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£150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D0474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15-Oct-24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B094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04-Nov-24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300D2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179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D35712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£25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C04521" w14:textId="77777777" w:rsidR="00F37C83" w:rsidRDefault="00F37C83"/>
        </w:tc>
      </w:tr>
      <w:tr w:rsidR="00F37C83" w14:paraId="29D2AF40" w14:textId="77777777">
        <w:trPr>
          <w:trHeight w:val="223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74BA0" w14:textId="77777777" w:rsidR="00F37C83" w:rsidRDefault="00000000">
            <w:pPr>
              <w:pStyle w:val="Body"/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Hortuss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Ltd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FD28FF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1A7975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05-Nov-24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24789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£480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6F17EE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05-Nov-24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F5D209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05-Nov-24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879589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178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8082B0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£80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224C36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</w:tr>
      <w:tr w:rsidR="00F37C83" w14:paraId="1038EC57" w14:textId="77777777">
        <w:trPr>
          <w:trHeight w:val="223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99F8DA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EC8B6D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ADB256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F49A3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D8B521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96E54" w14:textId="77777777" w:rsidR="00F37C83" w:rsidRDefault="00F37C83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FA8752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2649D4" w14:textId="77777777" w:rsidR="00F37C83" w:rsidRDefault="00000000">
            <w:pPr>
              <w:pStyle w:val="Body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EB195E" w14:textId="77777777" w:rsidR="00F37C83" w:rsidRDefault="00000000"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£260</w:t>
            </w:r>
          </w:p>
        </w:tc>
      </w:tr>
    </w:tbl>
    <w:p w14:paraId="72CF7A21" w14:textId="77777777" w:rsidR="00F37C83" w:rsidRDefault="00F37C83">
      <w:pPr>
        <w:pStyle w:val="NormalWeb"/>
        <w:widowControl w:val="0"/>
        <w:rPr>
          <w:rFonts w:ascii="Arial" w:eastAsia="Arial" w:hAnsi="Arial" w:cs="Arial"/>
          <w:sz w:val="20"/>
          <w:szCs w:val="20"/>
        </w:rPr>
      </w:pPr>
    </w:p>
    <w:p w14:paraId="1C8D417F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Max should claim bad debt relief on the VAT return for the accounting period in which the entitlement to make a claim arises </w:t>
      </w:r>
      <w:proofErr w:type="spellStart"/>
      <w:r>
        <w:rPr>
          <w:rFonts w:ascii="Arial" w:hAnsi="Arial"/>
          <w:sz w:val="20"/>
          <w:szCs w:val="20"/>
        </w:rPr>
        <w:t>ie</w:t>
      </w:r>
      <w:proofErr w:type="spellEnd"/>
      <w:r>
        <w:rPr>
          <w:rFonts w:ascii="Arial" w:hAnsi="Arial"/>
          <w:sz w:val="20"/>
          <w:szCs w:val="20"/>
        </w:rPr>
        <w:t xml:space="preserve"> on the VAT return for the quarter to 30 April 2025. The amount claimed should be included in box 4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>.</w:t>
      </w:r>
    </w:p>
    <w:p w14:paraId="72166233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2)</w:t>
      </w:r>
      <w:r>
        <w:rPr>
          <w:rFonts w:ascii="Arial" w:hAnsi="Arial"/>
          <w:sz w:val="20"/>
          <w:szCs w:val="20"/>
        </w:rPr>
        <w:tab/>
      </w:r>
    </w:p>
    <w:p w14:paraId="5FC24027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a. There is no supply made where a customer pays a security deposit for a courtesy car hire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(1 mark) </w:t>
      </w:r>
      <w:r>
        <w:rPr>
          <w:rFonts w:ascii="Arial" w:hAnsi="Arial"/>
          <w:sz w:val="20"/>
          <w:szCs w:val="20"/>
        </w:rPr>
        <w:t xml:space="preserve">and so this is outside the scope of VAT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. This is the case where the deposit is refunded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(½ mark) </w:t>
      </w:r>
      <w:r>
        <w:rPr>
          <w:rFonts w:ascii="Arial" w:hAnsi="Arial"/>
          <w:sz w:val="20"/>
          <w:szCs w:val="20"/>
        </w:rPr>
        <w:t xml:space="preserve">or retained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(½ mark)</w:t>
      </w:r>
      <w:r>
        <w:rPr>
          <w:rFonts w:ascii="Arial" w:hAnsi="Arial"/>
          <w:sz w:val="20"/>
          <w:szCs w:val="20"/>
        </w:rPr>
        <w:t xml:space="preserve"> by Max. </w:t>
      </w:r>
    </w:p>
    <w:p w14:paraId="3A23FB4C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b. </w:t>
      </w:r>
      <w:bookmarkStart w:id="1" w:name="_Hlk179903677"/>
      <w:r>
        <w:rPr>
          <w:rFonts w:ascii="Arial" w:hAnsi="Arial"/>
          <w:sz w:val="20"/>
          <w:szCs w:val="20"/>
        </w:rPr>
        <w:t xml:space="preserve">The £500 deposit paid by a customer for work to be done at a future date is subject to VAT at the standard rate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, and the time of supply is the earlier of the date of payment or issue of an invoice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. This is the case even if the customer does not </w:t>
      </w:r>
      <w:proofErr w:type="gramStart"/>
      <w:r>
        <w:rPr>
          <w:rFonts w:ascii="Arial" w:hAnsi="Arial"/>
          <w:sz w:val="20"/>
          <w:szCs w:val="20"/>
        </w:rPr>
        <w:t>go</w:t>
      </w:r>
      <w:proofErr w:type="gramEnd"/>
      <w:r>
        <w:rPr>
          <w:rFonts w:ascii="Arial" w:hAnsi="Arial"/>
          <w:sz w:val="20"/>
          <w:szCs w:val="20"/>
        </w:rPr>
        <w:t xml:space="preserve"> ahead with some or </w:t>
      </w:r>
      <w:proofErr w:type="gramStart"/>
      <w:r>
        <w:rPr>
          <w:rFonts w:ascii="Arial" w:hAnsi="Arial"/>
          <w:sz w:val="20"/>
          <w:szCs w:val="20"/>
        </w:rPr>
        <w:t>all of</w:t>
      </w:r>
      <w:proofErr w:type="gramEnd"/>
      <w:r>
        <w:rPr>
          <w:rFonts w:ascii="Arial" w:hAnsi="Arial"/>
          <w:sz w:val="20"/>
          <w:szCs w:val="20"/>
        </w:rPr>
        <w:t xml:space="preserve"> the work, and Max retains the deposit</w:t>
      </w:r>
      <w:bookmarkEnd w:id="1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mark).</w:t>
      </w:r>
    </w:p>
    <w:p w14:paraId="116C785D" w14:textId="77777777" w:rsidR="00F37C83" w:rsidRDefault="00000000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c. The £30 monthly service plan payment is subject to VAT at the standard rate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, and the time of supply is the </w:t>
      </w:r>
      <w:proofErr w:type="gramStart"/>
      <w:r>
        <w:rPr>
          <w:rFonts w:ascii="Arial" w:hAnsi="Arial"/>
          <w:sz w:val="20"/>
          <w:szCs w:val="20"/>
        </w:rPr>
        <w:t>earlier of the</w:t>
      </w:r>
      <w:proofErr w:type="gramEnd"/>
      <w:r>
        <w:rPr>
          <w:rFonts w:ascii="Arial" w:hAnsi="Arial"/>
          <w:sz w:val="20"/>
          <w:szCs w:val="20"/>
        </w:rPr>
        <w:t xml:space="preserve"> date of payment or issue of an invoice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</w:t>
      </w:r>
      <w:r>
        <w:rPr>
          <w:rFonts w:ascii="Arial" w:hAnsi="Arial"/>
          <w:sz w:val="20"/>
          <w:szCs w:val="20"/>
        </w:rPr>
        <w:t xml:space="preserve">. If the customer cancels the contract, then Max will issue a credit note and refund/ reclaim the VAT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>(1 mark).</w:t>
      </w:r>
    </w:p>
    <w:p w14:paraId="095254E4" w14:textId="77777777" w:rsidR="00F37C83" w:rsidRDefault="00F37C83">
      <w:pPr>
        <w:pStyle w:val="Body"/>
      </w:pPr>
    </w:p>
    <w:sectPr w:rsidR="00F37C8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DDE7E" w14:textId="77777777" w:rsidR="0038550C" w:rsidRDefault="0038550C">
      <w:r>
        <w:separator/>
      </w:r>
    </w:p>
  </w:endnote>
  <w:endnote w:type="continuationSeparator" w:id="0">
    <w:p w14:paraId="1C485777" w14:textId="77777777" w:rsidR="0038550C" w:rsidRDefault="0038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FEFD" w14:textId="77777777" w:rsidR="00F37C83" w:rsidRDefault="00000000">
    <w:pPr>
      <w:pStyle w:val="Footer"/>
      <w:jc w:val="center"/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 w:rsidR="000651A5">
      <w:rPr>
        <w:rFonts w:ascii="Arial" w:hAnsi="Arial"/>
        <w:noProof/>
        <w:sz w:val="18"/>
        <w:szCs w:val="18"/>
      </w:rPr>
      <w:t>2</w:t>
    </w:r>
    <w:r>
      <w:rPr>
        <w:rFonts w:ascii="Arial" w:hAnsi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43C85" w14:textId="77777777" w:rsidR="00F37C83" w:rsidRDefault="00F37C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20108" w14:textId="77777777" w:rsidR="0038550C" w:rsidRDefault="0038550C">
      <w:r>
        <w:separator/>
      </w:r>
    </w:p>
  </w:footnote>
  <w:footnote w:type="continuationSeparator" w:id="0">
    <w:p w14:paraId="72D4C6DA" w14:textId="77777777" w:rsidR="0038550C" w:rsidRDefault="0038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E90C8" w14:textId="77777777" w:rsidR="00F37C83" w:rsidRDefault="00F37C83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90BB" w14:textId="77777777" w:rsidR="00F37C83" w:rsidRDefault="00F37C8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856DA"/>
    <w:multiLevelType w:val="hybridMultilevel"/>
    <w:tmpl w:val="B19E7712"/>
    <w:numStyleLink w:val="Numbered"/>
  </w:abstractNum>
  <w:abstractNum w:abstractNumId="1" w15:restartNumberingAfterBreak="0">
    <w:nsid w:val="3B253BE8"/>
    <w:multiLevelType w:val="hybridMultilevel"/>
    <w:tmpl w:val="407C556C"/>
    <w:numStyleLink w:val="Lettered"/>
  </w:abstractNum>
  <w:abstractNum w:abstractNumId="2" w15:restartNumberingAfterBreak="0">
    <w:nsid w:val="4C1D421A"/>
    <w:multiLevelType w:val="hybridMultilevel"/>
    <w:tmpl w:val="407C556C"/>
    <w:styleLink w:val="Lettered"/>
    <w:lvl w:ilvl="0" w:tplc="64F6C83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0A7C8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D80F9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743918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AA47B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26C4A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F21E42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D40CF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C4CD46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E74787"/>
    <w:multiLevelType w:val="hybridMultilevel"/>
    <w:tmpl w:val="B19E7712"/>
    <w:styleLink w:val="Numbered"/>
    <w:lvl w:ilvl="0" w:tplc="85C41F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6454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E47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025E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EFA0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8703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E82F8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E2BF9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32479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87259703">
    <w:abstractNumId w:val="3"/>
  </w:num>
  <w:num w:numId="2" w16cid:durableId="125658941">
    <w:abstractNumId w:val="0"/>
  </w:num>
  <w:num w:numId="3" w16cid:durableId="43023087">
    <w:abstractNumId w:val="0"/>
    <w:lvlOverride w:ilvl="0">
      <w:startOverride w:val="1"/>
    </w:lvlOverride>
  </w:num>
  <w:num w:numId="4" w16cid:durableId="400953081">
    <w:abstractNumId w:val="2"/>
  </w:num>
  <w:num w:numId="5" w16cid:durableId="62188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C83"/>
    <w:rsid w:val="000651A5"/>
    <w:rsid w:val="0038550C"/>
    <w:rsid w:val="00607749"/>
    <w:rsid w:val="0092458D"/>
    <w:rsid w:val="00976600"/>
    <w:rsid w:val="00EF464C"/>
    <w:rsid w:val="00F3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0D19"/>
  <w15:docId w15:val="{2B025B29-BF7E-471C-8C2D-FD2C11B3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uiPriority w:val="9"/>
    <w:unhideWhenUsed/>
    <w:qFormat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line="276" w:lineRule="auto"/>
      <w:outlineLvl w:val="0"/>
    </w:pPr>
    <w:rPr>
      <w:rFonts w:ascii="Helvetica Neue" w:hAnsi="Helvetica Neue" w:cs="Arial Unicode MS"/>
      <w:b/>
      <w:bCs/>
      <w:color w:val="0079BF"/>
      <w:sz w:val="28"/>
      <w:szCs w:val="28"/>
      <w:u w:color="0079B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TableStyle1A">
    <w:name w:val="Table Style 1 A"/>
    <w:rPr>
      <w:rFonts w:ascii="Helvetica Neue" w:hAnsi="Helvetica Neue"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tered">
    <w:name w:val="Lettered"/>
    <w:pPr>
      <w:numPr>
        <w:numId w:val="4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NoSpacing">
    <w:name w:val="No Spacing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B2E46AF2E0141B46652E03C512568" ma:contentTypeVersion="18" ma:contentTypeDescription="Create a new document." ma:contentTypeScope="" ma:versionID="eda3b22b9091a4e4e4a5b96229934a3f">
  <xsd:schema xmlns:xsd="http://www.w3.org/2001/XMLSchema" xmlns:xs="http://www.w3.org/2001/XMLSchema" xmlns:p="http://schemas.microsoft.com/office/2006/metadata/properties" xmlns:ns2="46be1880-17cd-423d-a323-4739b9dfc94e" xmlns:ns3="9f6def9a-651c-49a3-87bf-572377933c6d" xmlns:ns4="8d58213b-690a-4f05-96a7-f9027d42f364" targetNamespace="http://schemas.microsoft.com/office/2006/metadata/properties" ma:root="true" ma:fieldsID="99cb302159f776d61e0a95144a14e23f" ns2:_="" ns3:_="" ns4:_="">
    <xsd:import namespace="46be1880-17cd-423d-a323-4739b9dfc94e"/>
    <xsd:import namespace="9f6def9a-651c-49a3-87bf-572377933c6d"/>
    <xsd:import namespace="8d58213b-690a-4f05-96a7-f9027d42f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e1880-17cd-423d-a323-4739b9dfc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757387-a0ba-41cd-b63d-93ef6f352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def9a-651c-49a3-87bf-572377933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213b-690a-4f05-96a7-f9027d42f36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f12e96-6595-479f-aff4-23ad36a288db}" ma:internalName="TaxCatchAll" ma:showField="CatchAllData" ma:web="8d58213b-690a-4f05-96a7-f9027d42f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e1880-17cd-423d-a323-4739b9dfc94e">
      <Terms xmlns="http://schemas.microsoft.com/office/infopath/2007/PartnerControls"/>
    </lcf76f155ced4ddcb4097134ff3c332f>
    <TaxCatchAll xmlns="8d58213b-690a-4f05-96a7-f9027d42f364" xsi:nil="true"/>
  </documentManagement>
</p:properties>
</file>

<file path=customXml/itemProps1.xml><?xml version="1.0" encoding="utf-8"?>
<ds:datastoreItem xmlns:ds="http://schemas.openxmlformats.org/officeDocument/2006/customXml" ds:itemID="{C9060027-6814-4290-9D9B-2E0F9F503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BC3E6-4E43-4B1A-9C42-D88E6A4D2579}"/>
</file>

<file path=customXml/itemProps3.xml><?xml version="1.0" encoding="utf-8"?>
<ds:datastoreItem xmlns:ds="http://schemas.openxmlformats.org/officeDocument/2006/customXml" ds:itemID="{6A3F7E2C-0129-4748-94F9-22D8889B8B15}"/>
</file>

<file path=customXml/itemProps4.xml><?xml version="1.0" encoding="utf-8"?>
<ds:datastoreItem xmlns:ds="http://schemas.openxmlformats.org/officeDocument/2006/customXml" ds:itemID="{B6B7505F-E16E-4CDF-BEDB-4391420F4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Stainton</cp:lastModifiedBy>
  <cp:revision>3</cp:revision>
  <dcterms:created xsi:type="dcterms:W3CDTF">2025-06-12T07:08:00Z</dcterms:created>
  <dcterms:modified xsi:type="dcterms:W3CDTF">2025-06-12T08:17:00Z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0x01010011BB2E46AF2E0141B46652E03C512568</vt:lpwstr>
  </property>
</Properties>
</file>